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3GPP TSG RAN WG1 Ad-Hoc Meeting 1901</w:t>
      </w:r>
      <w:r>
        <w:rPr>
          <w:rFonts w:ascii="Arial" w:hAnsi="Arial" w:cs="Arial"/>
          <w:b/>
          <w:sz w:val="22"/>
          <w:szCs w:val="22"/>
        </w:rPr>
        <w:tab/>
      </w:r>
      <w:r>
        <w:rPr>
          <w:rFonts w:ascii="Arial" w:hAnsi="Arial" w:cs="Arial"/>
          <w:b/>
          <w:sz w:val="22"/>
          <w:szCs w:val="22"/>
        </w:rPr>
        <w:t>R1-1900</w:t>
      </w:r>
      <w:r>
        <w:rPr>
          <w:rFonts w:hint="eastAsia" w:ascii="Arial" w:hAnsi="Arial" w:cs="Arial"/>
          <w:b/>
          <w:sz w:val="22"/>
          <w:szCs w:val="22"/>
          <w:lang w:val="en-US" w:eastAsia="zh-CN"/>
        </w:rPr>
        <w:t>238</w:t>
      </w:r>
    </w:p>
    <w:p>
      <w:pPr>
        <w:tabs>
          <w:tab w:val="right" w:pos="9630"/>
        </w:tabs>
        <w:spacing w:after="0"/>
        <w:rPr>
          <w:rFonts w:ascii="Arial" w:hAnsi="Arial" w:cs="Arial"/>
          <w:b/>
          <w:sz w:val="22"/>
          <w:szCs w:val="22"/>
        </w:rPr>
      </w:pPr>
      <w:r>
        <w:rPr>
          <w:rFonts w:ascii="Arial" w:hAnsi="Arial" w:cs="Arial"/>
          <w:b/>
          <w:sz w:val="22"/>
          <w:szCs w:val="22"/>
        </w:rPr>
        <w:t>Taipei, January 21</w:t>
      </w:r>
      <w:r>
        <w:rPr>
          <w:rFonts w:ascii="Arial" w:hAnsi="Arial" w:cs="Arial"/>
          <w:b/>
          <w:sz w:val="22"/>
          <w:szCs w:val="22"/>
          <w:vertAlign w:val="superscript"/>
        </w:rPr>
        <w:t>st</w:t>
      </w:r>
      <w:r>
        <w:rPr>
          <w:rFonts w:ascii="Arial" w:hAnsi="Arial" w:cs="Arial"/>
          <w:b/>
          <w:sz w:val="22"/>
          <w:szCs w:val="22"/>
        </w:rPr>
        <w:t xml:space="preserve"> – 25</w:t>
      </w:r>
      <w:r>
        <w:rPr>
          <w:rFonts w:ascii="Arial" w:hAnsi="Arial" w:cs="Arial"/>
          <w:b/>
          <w:sz w:val="22"/>
          <w:szCs w:val="22"/>
          <w:vertAlign w:val="superscript"/>
        </w:rPr>
        <w:t>th</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sz w:val="21"/>
          <w:lang w:eastAsia="zh-CN"/>
        </w:rPr>
      </w:pPr>
      <w:r>
        <w:rPr>
          <w:rFonts w:ascii="Arial" w:hAnsi="Arial"/>
          <w:b/>
        </w:rPr>
        <w:t xml:space="preserve">Title: </w:t>
      </w:r>
      <w:r>
        <w:rPr>
          <w:rFonts w:ascii="Arial" w:hAnsi="Arial"/>
          <w:b/>
          <w:sz w:val="21"/>
        </w:rPr>
        <w:tab/>
      </w:r>
      <w:r>
        <w:rPr>
          <w:rFonts w:hint="eastAsia" w:ascii="Arial" w:hAnsi="Arial"/>
          <w:b/>
          <w:sz w:val="21"/>
        </w:rPr>
        <w:t>Performance evaluation for urban macro scenarios at 700 MHz</w:t>
      </w:r>
    </w:p>
    <w:p>
      <w:pPr>
        <w:tabs>
          <w:tab w:val="left" w:pos="1985"/>
        </w:tabs>
        <w:spacing w:after="0"/>
        <w:rPr>
          <w:rFonts w:hint="default" w:ascii="Arial" w:hAnsi="Arial" w:eastAsia="宋体"/>
          <w:b/>
          <w:lang w:val="en-US" w:eastAsia="zh-CN"/>
        </w:rPr>
      </w:pPr>
      <w:r>
        <w:rPr>
          <w:rFonts w:ascii="Arial" w:hAnsi="Arial"/>
          <w:b/>
        </w:rPr>
        <w:t>Agenda item:</w:t>
      </w:r>
      <w:r>
        <w:rPr>
          <w:rFonts w:ascii="Arial" w:hAnsi="Arial"/>
          <w:b/>
        </w:rPr>
        <w:tab/>
      </w:r>
      <w:r>
        <w:rPr>
          <w:rFonts w:ascii="Arial" w:hAnsi="Arial"/>
          <w:b/>
        </w:rPr>
        <w:t>7.2.</w:t>
      </w:r>
      <w:r>
        <w:rPr>
          <w:rFonts w:hint="eastAsia" w:ascii="Arial" w:hAnsi="Arial"/>
          <w:b/>
          <w:lang w:val="en-US" w:eastAsia="zh-CN"/>
        </w:rPr>
        <w:t>6.4</w:t>
      </w:r>
    </w:p>
    <w:p>
      <w:pPr>
        <w:spacing w:after="240"/>
        <w:ind w:left="1990" w:hanging="1990"/>
        <w:rPr>
          <w:rFonts w:ascii="Arial" w:hAnsi="Arial"/>
          <w:b/>
          <w:sz w:val="21"/>
        </w:rPr>
      </w:pPr>
      <w:r>
        <w:rPr>
          <w:rFonts w:ascii="Arial" w:hAnsi="Arial"/>
          <w:b/>
        </w:rPr>
        <w:t>Document for:</w:t>
      </w:r>
      <w:r>
        <w:rPr>
          <w:rFonts w:ascii="Arial" w:hAnsi="Arial"/>
          <w:b/>
          <w:sz w:val="21"/>
        </w:rPr>
        <w:tab/>
      </w:r>
      <w:r>
        <w:rPr>
          <w:rFonts w:ascii="Arial" w:hAnsi="Arial"/>
          <w:b/>
          <w:sz w:val="21"/>
        </w:rPr>
        <w:t>Discussion/Decision</w:t>
      </w:r>
    </w:p>
    <w:p>
      <w:pPr>
        <w:pStyle w:val="2"/>
        <w:textAlignment w:val="auto"/>
      </w:pPr>
      <w:r>
        <w:t>Introduction</w:t>
      </w:r>
      <w:bookmarkEnd w:id="0"/>
    </w:p>
    <w:p>
      <w:pPr>
        <w:rPr>
          <w:rFonts w:hint="default"/>
          <w:lang w:val="en-US" w:eastAsia="zh-CN"/>
        </w:rPr>
      </w:pPr>
      <w:r>
        <w:rPr>
          <w:rFonts w:hint="eastAsia"/>
          <w:lang w:val="en-US" w:eastAsia="zh-CN"/>
        </w:rPr>
        <w:t xml:space="preserve">During previous meetings, the simulation assumptions for eURLLC in Rel-16 have been finalized </w:t>
      </w:r>
      <w:r>
        <w:rPr>
          <w:rFonts w:hint="eastAsia"/>
          <w:lang w:val="en-US" w:eastAsia="zh-CN"/>
        </w:rPr>
        <w:fldChar w:fldCharType="begin"/>
      </w:r>
      <w:r>
        <w:rPr>
          <w:rFonts w:hint="eastAsia"/>
          <w:lang w:val="en-US" w:eastAsia="zh-CN"/>
        </w:rPr>
        <w:instrText xml:space="preserve"> REF _Ref28029 \n \h </w:instrText>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_Ref28032 \n \h </w:instrText>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_Ref11666 \n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As depicted in </w:t>
      </w:r>
      <w:r>
        <w:rPr>
          <w:rFonts w:hint="eastAsia"/>
          <w:lang w:val="en-US" w:eastAsia="zh-CN"/>
        </w:rPr>
        <w:fldChar w:fldCharType="begin"/>
      </w:r>
      <w:r>
        <w:rPr>
          <w:rFonts w:hint="eastAsia"/>
          <w:lang w:val="en-US" w:eastAsia="zh-CN"/>
        </w:rPr>
        <w:instrText xml:space="preserve"> REF _Ref27036 \h </w:instrText>
      </w:r>
      <w:r>
        <w:rPr>
          <w:rFonts w:hint="eastAsia"/>
          <w:lang w:val="en-US" w:eastAsia="zh-CN"/>
        </w:rPr>
        <w:fldChar w:fldCharType="separate"/>
      </w:r>
      <w:r>
        <w:rPr>
          <w:b w:val="0"/>
          <w:bCs w:val="0"/>
        </w:rPr>
        <w:t>Table 1</w:t>
      </w:r>
      <w:r>
        <w:rPr>
          <w:rFonts w:hint="eastAsia"/>
          <w:lang w:val="en-US" w:eastAsia="zh-CN"/>
        </w:rPr>
        <w:fldChar w:fldCharType="end"/>
      </w:r>
      <w:r>
        <w:rPr>
          <w:rFonts w:hint="eastAsia"/>
          <w:lang w:val="en-US" w:eastAsia="zh-CN"/>
        </w:rPr>
        <w:t>, 700 MHz carrier frequency is applicable for power distribution and transport industry.</w:t>
      </w:r>
    </w:p>
    <w:p>
      <w:pPr>
        <w:pStyle w:val="30"/>
        <w:jc w:val="center"/>
        <w:rPr>
          <w:rFonts w:hint="default" w:eastAsia="宋体"/>
          <w:b w:val="0"/>
          <w:bCs w:val="0"/>
          <w:lang w:val="en-US" w:eastAsia="zh-CN"/>
        </w:rPr>
      </w:pPr>
      <w:bookmarkStart w:id="1" w:name="_Ref27036"/>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1"/>
      <w:r>
        <w:rPr>
          <w:rFonts w:hint="eastAsia"/>
          <w:b w:val="0"/>
          <w:bCs w:val="0"/>
          <w:lang w:val="en-US" w:eastAsia="zh-CN"/>
        </w:rPr>
        <w:t xml:space="preserve"> Scenarios and corresponding carrier frequencies for SLS</w:t>
      </w:r>
    </w:p>
    <w:tbl>
      <w:tblPr>
        <w:tblStyle w:val="56"/>
        <w:tblW w:w="59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8"/>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hint="default"/>
                <w:vertAlign w:val="baseline"/>
                <w:lang w:val="en-US" w:eastAsia="zh-CN"/>
              </w:rPr>
            </w:pPr>
            <w:r>
              <w:rPr>
                <w:rFonts w:hint="eastAsia"/>
                <w:vertAlign w:val="baseline"/>
                <w:lang w:val="en-US" w:eastAsia="zh-CN"/>
              </w:rPr>
              <w:t>Scenario</w:t>
            </w:r>
          </w:p>
        </w:tc>
        <w:tc>
          <w:tcPr>
            <w:tcW w:w="2938" w:type="dxa"/>
          </w:tcPr>
          <w:p>
            <w:pPr>
              <w:spacing w:before="120" w:line="280" w:lineRule="atLeast"/>
              <w:rPr>
                <w:rFonts w:hint="default"/>
                <w:vertAlign w:val="baseline"/>
                <w:lang w:val="en-US" w:eastAsia="zh-CN"/>
              </w:rPr>
            </w:pPr>
            <w:r>
              <w:rPr>
                <w:rFonts w:hint="eastAsia"/>
                <w:vertAlign w:val="baseline"/>
                <w:lang w:val="en-US" w:eastAsia="zh-CN"/>
              </w:rPr>
              <w:t>Carrier frequency for SLS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hint="default"/>
                <w:vertAlign w:val="baseline"/>
                <w:lang w:val="en-US" w:eastAsia="zh-CN"/>
              </w:rPr>
            </w:pPr>
            <w:r>
              <w:rPr>
                <w:rFonts w:hint="eastAsia"/>
                <w:vertAlign w:val="baseline"/>
                <w:lang w:val="en-US" w:eastAsia="zh-CN"/>
              </w:rPr>
              <w:t>Power distribution</w:t>
            </w:r>
          </w:p>
        </w:tc>
        <w:tc>
          <w:tcPr>
            <w:tcW w:w="2938" w:type="dxa"/>
          </w:tcPr>
          <w:p>
            <w:pPr>
              <w:spacing w:before="120" w:line="280" w:lineRule="atLeast"/>
              <w:rPr>
                <w:rFonts w:hint="default"/>
                <w:vertAlign w:val="baseline"/>
                <w:lang w:val="en-US" w:eastAsia="zh-CN"/>
              </w:rPr>
            </w:pPr>
            <w:r>
              <w:rPr>
                <w:rFonts w:hint="eastAsia"/>
                <w:vertAlign w:val="baseline"/>
                <w:lang w:val="en-US" w:eastAsia="zh-CN"/>
              </w:rPr>
              <w:t>700 MHz,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hint="default"/>
                <w:vertAlign w:val="baseline"/>
                <w:lang w:val="en-US" w:eastAsia="zh-CN"/>
              </w:rPr>
            </w:pPr>
            <w:r>
              <w:rPr>
                <w:rFonts w:hint="eastAsia"/>
                <w:vertAlign w:val="baseline"/>
                <w:lang w:val="en-US" w:eastAsia="zh-CN"/>
              </w:rPr>
              <w:t>Factory automation</w:t>
            </w:r>
          </w:p>
        </w:tc>
        <w:tc>
          <w:tcPr>
            <w:tcW w:w="2938" w:type="dxa"/>
          </w:tcPr>
          <w:p>
            <w:pPr>
              <w:spacing w:before="120" w:line="280" w:lineRule="atLeast"/>
              <w:rPr>
                <w:rFonts w:hint="default"/>
                <w:vertAlign w:val="baseline"/>
                <w:lang w:val="en-US" w:eastAsia="zh-CN"/>
              </w:rPr>
            </w:pPr>
            <w:r>
              <w:rPr>
                <w:rFonts w:hint="eastAsia"/>
                <w:vertAlign w:val="baseline"/>
                <w:lang w:val="en-US" w:eastAsia="zh-CN"/>
              </w:rPr>
              <w:t>4 GHz,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hint="default"/>
                <w:vertAlign w:val="baseline"/>
                <w:lang w:val="en-US" w:eastAsia="zh-CN"/>
              </w:rPr>
            </w:pPr>
            <w:r>
              <w:rPr>
                <w:rFonts w:hint="eastAsia"/>
                <w:vertAlign w:val="baseline"/>
                <w:lang w:val="en-US" w:eastAsia="zh-CN"/>
              </w:rPr>
              <w:t>Rel-15 enabled use cases</w:t>
            </w:r>
          </w:p>
        </w:tc>
        <w:tc>
          <w:tcPr>
            <w:tcW w:w="2938" w:type="dxa"/>
          </w:tcPr>
          <w:p>
            <w:pPr>
              <w:spacing w:before="120" w:line="280" w:lineRule="atLeast"/>
              <w:rPr>
                <w:rFonts w:hint="default"/>
                <w:vertAlign w:val="baseline"/>
                <w:lang w:val="en-US" w:eastAsia="zh-CN"/>
              </w:rPr>
            </w:pPr>
            <w:r>
              <w:rPr>
                <w:rFonts w:hint="eastAsia"/>
                <w:vertAlign w:val="baseline"/>
                <w:lang w:val="en-US"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hint="default"/>
                <w:vertAlign w:val="baseline"/>
                <w:lang w:val="en-US" w:eastAsia="zh-CN"/>
              </w:rPr>
            </w:pPr>
            <w:r>
              <w:rPr>
                <w:rFonts w:hint="eastAsia"/>
                <w:vertAlign w:val="baseline"/>
                <w:lang w:val="en-US" w:eastAsia="zh-CN"/>
              </w:rPr>
              <w:t>Transport industry</w:t>
            </w:r>
          </w:p>
        </w:tc>
        <w:tc>
          <w:tcPr>
            <w:tcW w:w="2938" w:type="dxa"/>
          </w:tcPr>
          <w:p>
            <w:pPr>
              <w:spacing w:before="120" w:line="280" w:lineRule="atLeast"/>
              <w:rPr>
                <w:rFonts w:hint="default"/>
                <w:vertAlign w:val="baseline"/>
                <w:lang w:val="en-US" w:eastAsia="zh-CN"/>
              </w:rPr>
            </w:pPr>
            <w:r>
              <w:rPr>
                <w:rFonts w:hint="eastAsia"/>
                <w:vertAlign w:val="baseline"/>
                <w:lang w:val="en-US" w:eastAsia="zh-CN"/>
              </w:rPr>
              <w:t>7 00MHz, 4 GHz</w:t>
            </w:r>
          </w:p>
        </w:tc>
      </w:tr>
    </w:tbl>
    <w:p>
      <w:pPr>
        <w:rPr>
          <w:rFonts w:hint="default"/>
          <w:lang w:val="en-US" w:eastAsia="zh-CN"/>
        </w:rPr>
      </w:pPr>
    </w:p>
    <w:p>
      <w:pPr>
        <w:rPr>
          <w:lang w:val="en-GB" w:eastAsia="zh-CN"/>
        </w:rPr>
      </w:pPr>
      <w:r>
        <w:rPr>
          <w:rFonts w:hint="eastAsia"/>
          <w:lang w:val="en-US" w:eastAsia="zh-CN"/>
        </w:rPr>
        <w:t xml:space="preserve">In this contribution, we provide our geometry and simulation results of transport industry scenario at 700 MHz for calibration and comparison. The detailed geometry and simulation results of transport industry scenario at 4 GHz could be found in our companion contribution </w:t>
      </w:r>
      <w:r>
        <w:rPr>
          <w:rFonts w:hint="eastAsia"/>
          <w:lang w:val="en-US" w:eastAsia="zh-CN"/>
        </w:rPr>
        <w:fldChar w:fldCharType="begin"/>
      </w:r>
      <w:r>
        <w:rPr>
          <w:rFonts w:hint="eastAsia"/>
          <w:lang w:val="en-US" w:eastAsia="zh-CN"/>
        </w:rPr>
        <w:instrText xml:space="preserve"> REF _Ref9918 \n \h </w:instrText>
      </w:r>
      <w:r>
        <w:rPr>
          <w:rFonts w:hint="eastAsia"/>
          <w:lang w:val="en-US" w:eastAsia="zh-CN"/>
        </w:rPr>
        <w:fldChar w:fldCharType="separate"/>
      </w:r>
      <w:r>
        <w:rPr>
          <w:rFonts w:hint="eastAsia"/>
          <w:lang w:val="en-US" w:eastAsia="zh-CN"/>
        </w:rPr>
        <w:t>[4]</w:t>
      </w:r>
      <w:r>
        <w:rPr>
          <w:rFonts w:hint="eastAsia"/>
          <w:lang w:val="en-US" w:eastAsia="zh-CN"/>
        </w:rPr>
        <w:fldChar w:fldCharType="end"/>
      </w:r>
      <w:r>
        <w:rPr>
          <w:rFonts w:hint="eastAsia"/>
          <w:lang w:val="en-US" w:eastAsia="zh-CN"/>
        </w:rPr>
        <w:t>.</w:t>
      </w:r>
    </w:p>
    <w:p>
      <w:pPr>
        <w:pStyle w:val="2"/>
        <w:rPr>
          <w:lang w:eastAsia="zh-CN"/>
        </w:rPr>
      </w:pPr>
      <w:r>
        <w:rPr>
          <w:lang w:eastAsia="zh-CN"/>
        </w:rPr>
        <w:t>Geometry calibration</w:t>
      </w:r>
    </w:p>
    <w:p>
      <w:pPr>
        <w:rPr>
          <w:rFonts w:hint="eastAsia"/>
          <w:highlight w:val="yellow"/>
          <w:lang w:val="en-US" w:eastAsia="zh-CN"/>
        </w:rPr>
      </w:pPr>
      <w:r>
        <w:rPr>
          <w:rFonts w:hint="eastAsia"/>
          <w:lang w:val="en-US" w:eastAsia="zh-CN"/>
        </w:rPr>
        <w:t xml:space="preserve">Per the discussion in last meeting, companies are encouraged to provide simulation results with the corresponding geometry. Both with-re-drop and without-re-drop are allowed. In this section, both DL and UL geometry </w:t>
      </w:r>
      <w:r>
        <w:rPr>
          <w:rFonts w:hint="eastAsia"/>
          <w:b w:val="0"/>
          <w:bCs w:val="0"/>
          <w:lang w:val="en-US" w:eastAsia="zh-CN"/>
        </w:rPr>
        <w:t>without-re-drop</w:t>
      </w:r>
      <w:r>
        <w:rPr>
          <w:rFonts w:hint="eastAsia"/>
          <w:lang w:val="en-US" w:eastAsia="zh-CN"/>
        </w:rPr>
        <w:t xml:space="preserve"> for transport industry are present. </w:t>
      </w:r>
    </w:p>
    <w:p>
      <w:pPr>
        <w:rPr>
          <w:rFonts w:hint="eastAsia"/>
          <w:highlight w:val="none"/>
          <w:lang w:val="en-US" w:eastAsia="zh-CN"/>
        </w:rPr>
      </w:pPr>
      <w:r>
        <w:rPr>
          <w:rFonts w:hint="eastAsia"/>
          <w:highlight w:val="none"/>
          <w:lang w:val="en-US" w:eastAsia="zh-CN"/>
        </w:rPr>
        <w:t xml:space="preserve">The detailed simulation assumptions for DL/UL geometry are summarized in </w:t>
      </w:r>
      <w:r>
        <w:rPr>
          <w:rFonts w:hint="eastAsia"/>
          <w:highlight w:val="none"/>
          <w:lang w:val="en-US" w:eastAsia="zh-CN"/>
        </w:rPr>
        <w:t>Table A-1 in the appendix</w:t>
      </w:r>
      <w:r>
        <w:rPr>
          <w:rFonts w:hint="eastAsia"/>
          <w:highlight w:val="none"/>
          <w:lang w:val="en-US" w:eastAsia="zh-CN"/>
        </w:rPr>
        <w:t xml:space="preserve">. As depicted in </w:t>
      </w:r>
      <w:r>
        <w:rPr>
          <w:rFonts w:hint="eastAsia"/>
          <w:highlight w:val="none"/>
          <w:lang w:val="en-US" w:eastAsia="zh-CN"/>
        </w:rPr>
        <w:fldChar w:fldCharType="begin"/>
      </w:r>
      <w:r>
        <w:rPr>
          <w:rFonts w:hint="eastAsia"/>
          <w:highlight w:val="none"/>
          <w:lang w:val="en-US" w:eastAsia="zh-CN"/>
        </w:rPr>
        <w:instrText xml:space="preserve"> REF _Ref6716 \h </w:instrText>
      </w:r>
      <w:r>
        <w:rPr>
          <w:rFonts w:hint="eastAsia"/>
          <w:highlight w:val="none"/>
          <w:lang w:val="en-US" w:eastAsia="zh-CN"/>
        </w:rPr>
        <w:fldChar w:fldCharType="separate"/>
      </w:r>
      <w:r>
        <w:rPr>
          <w:b w:val="0"/>
          <w:bCs w:val="0"/>
          <w:highlight w:val="none"/>
        </w:rPr>
        <w:t>Figure 1</w:t>
      </w:r>
      <w:r>
        <w:rPr>
          <w:rFonts w:hint="eastAsia"/>
          <w:highlight w:val="none"/>
          <w:lang w:val="en-US" w:eastAsia="zh-CN"/>
        </w:rPr>
        <w:fldChar w:fldCharType="end"/>
      </w:r>
      <w:r>
        <w:rPr>
          <w:rFonts w:hint="eastAsia"/>
          <w:highlight w:val="none"/>
          <w:lang w:val="en-US" w:eastAsia="zh-CN"/>
        </w:rPr>
        <w:t xml:space="preserve">, the 5% DL Q-value for this scenario is -0.44 dB and the 5% UL Q-value for this scenario is </w:t>
      </w:r>
      <w:r>
        <w:rPr>
          <w:rFonts w:hint="eastAsia"/>
        </w:rPr>
        <w:t>-</w:t>
      </w:r>
      <w:r>
        <w:rPr>
          <w:rFonts w:hint="eastAsia"/>
          <w:lang w:val="en-US" w:eastAsia="zh-CN"/>
        </w:rPr>
        <w:t>1.54</w:t>
      </w:r>
      <w:r>
        <w:rPr>
          <w:rFonts w:hint="eastAsia"/>
          <w:highlight w:val="none"/>
          <w:lang w:val="en-US" w:eastAsia="zh-CN"/>
        </w:rPr>
        <w:t xml:space="preserve"> dB.</w:t>
      </w:r>
    </w:p>
    <w:p>
      <w:pPr>
        <w:pStyle w:val="138"/>
        <w:numPr>
          <w:ilvl w:val="-1"/>
          <w:numId w:val="0"/>
        </w:numPr>
        <w:snapToGrid w:val="0"/>
        <w:spacing w:before="120" w:after="120"/>
        <w:rPr>
          <w:rFonts w:hint="eastAsia"/>
          <w:lang w:val="en-US" w:eastAsia="zh-CN"/>
        </w:rPr>
      </w:pPr>
      <w:r>
        <w:rPr>
          <w:rFonts w:hint="eastAsia"/>
          <w:lang w:val="en-US" w:eastAsia="zh-CN"/>
        </w:rPr>
        <w:t xml:space="preserve">Observation 1:For </w:t>
      </w:r>
      <w:r>
        <w:rPr>
          <w:rFonts w:hint="eastAsia"/>
          <w:highlight w:val="none"/>
          <w:lang w:val="en-US" w:eastAsia="zh-CN"/>
        </w:rPr>
        <w:t>transport industry</w:t>
      </w:r>
      <w:r>
        <w:rPr>
          <w:rFonts w:hint="eastAsia"/>
          <w:lang w:val="en-US" w:eastAsia="zh-CN"/>
        </w:rPr>
        <w:t xml:space="preserve"> </w:t>
      </w:r>
      <w:r>
        <w:rPr>
          <w:rFonts w:hint="eastAsia"/>
          <w:lang w:eastAsia="zh-CN"/>
        </w:rPr>
        <w:t xml:space="preserve">at </w:t>
      </w:r>
      <w:r>
        <w:rPr>
          <w:rFonts w:hint="eastAsia"/>
          <w:lang w:val="en-US" w:eastAsia="zh-CN"/>
        </w:rPr>
        <w:t>700 MHz,</w:t>
      </w:r>
    </w:p>
    <w:p>
      <w:pPr>
        <w:pStyle w:val="138"/>
        <w:numPr>
          <w:ilvl w:val="0"/>
          <w:numId w:val="9"/>
        </w:numPr>
        <w:snapToGrid w:val="0"/>
        <w:spacing w:before="120" w:after="120"/>
        <w:ind w:left="839" w:hanging="420"/>
        <w:rPr>
          <w:lang w:eastAsia="zh-CN"/>
        </w:rPr>
      </w:pPr>
      <w:r>
        <w:rPr>
          <w:rFonts w:hint="eastAsia"/>
          <w:lang w:eastAsia="zh-CN"/>
        </w:rPr>
        <w:t xml:space="preserve">The 5% Q-value of DL geometry is </w:t>
      </w:r>
      <w:r>
        <w:rPr>
          <w:rFonts w:hint="eastAsia"/>
          <w:lang w:val="en-US" w:eastAsia="zh-CN"/>
        </w:rPr>
        <w:t>-0.44</w:t>
      </w:r>
      <w:r>
        <w:rPr>
          <w:rFonts w:hint="eastAsia"/>
          <w:lang w:eastAsia="zh-CN"/>
        </w:rPr>
        <w:t xml:space="preserve"> dB. </w:t>
      </w:r>
    </w:p>
    <w:p>
      <w:pPr>
        <w:pStyle w:val="138"/>
        <w:numPr>
          <w:ilvl w:val="0"/>
          <w:numId w:val="9"/>
        </w:numPr>
        <w:snapToGrid w:val="0"/>
        <w:spacing w:before="0" w:after="120"/>
        <w:ind w:left="839" w:hanging="420"/>
        <w:rPr>
          <w:lang w:eastAsia="zh-CN"/>
        </w:rPr>
      </w:pPr>
      <w:r>
        <w:rPr>
          <w:rFonts w:hint="eastAsia"/>
          <w:lang w:eastAsia="zh-CN"/>
        </w:rPr>
        <w:t xml:space="preserve">The 5% Q-value of UL geometry is </w:t>
      </w:r>
      <w:r>
        <w:rPr>
          <w:rFonts w:hint="eastAsia"/>
          <w:lang w:val="en-US" w:eastAsia="zh-CN"/>
        </w:rPr>
        <w:t xml:space="preserve">-1.54 </w:t>
      </w:r>
      <w:r>
        <w:rPr>
          <w:rFonts w:hint="eastAsia"/>
          <w:lang w:eastAsia="zh-CN"/>
        </w:rPr>
        <w:t xml:space="preserve">dB. </w:t>
      </w:r>
    </w:p>
    <w:p>
      <w:pPr>
        <w:pStyle w:val="138"/>
        <w:numPr>
          <w:ilvl w:val="0"/>
          <w:numId w:val="0"/>
        </w:numPr>
        <w:rPr>
          <w:rFonts w:hint="default"/>
          <w:lang w:val="en-US" w:eastAsia="zh-CN"/>
        </w:rPr>
      </w:pPr>
    </w:p>
    <w:p>
      <w:pPr>
        <w:jc w:val="center"/>
        <w:rPr>
          <w:rFonts w:hint="default"/>
          <w:lang w:val="en-US" w:eastAsia="zh-CN"/>
        </w:rPr>
      </w:pPr>
      <w:r>
        <w:drawing>
          <wp:inline distT="0" distB="0" distL="114300" distR="114300">
            <wp:extent cx="4636135" cy="3218180"/>
            <wp:effectExtent l="0" t="0" r="12065" b="127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7"/>
                    <a:stretch>
                      <a:fillRect/>
                    </a:stretch>
                  </pic:blipFill>
                  <pic:spPr>
                    <a:xfrm>
                      <a:off x="0" y="0"/>
                      <a:ext cx="4636135" cy="3218180"/>
                    </a:xfrm>
                    <a:prstGeom prst="rect">
                      <a:avLst/>
                    </a:prstGeom>
                    <a:noFill/>
                    <a:ln>
                      <a:noFill/>
                    </a:ln>
                  </pic:spPr>
                </pic:pic>
              </a:graphicData>
            </a:graphic>
          </wp:inline>
        </w:drawing>
      </w:r>
    </w:p>
    <w:p>
      <w:pPr>
        <w:pStyle w:val="30"/>
        <w:jc w:val="center"/>
        <w:rPr>
          <w:rFonts w:hint="default"/>
          <w:lang w:val="en-US" w:eastAsia="zh-CN"/>
        </w:rPr>
      </w:pPr>
      <w:bookmarkStart w:id="2" w:name="_Ref6716"/>
      <w:r>
        <w:rPr>
          <w:b/>
          <w:bCs/>
        </w:rPr>
        <w:t xml:space="preserve">Figure </w:t>
      </w:r>
      <w:r>
        <w:rPr>
          <w:b/>
          <w:bCs/>
        </w:rPr>
        <w:fldChar w:fldCharType="begin"/>
      </w:r>
      <w:r>
        <w:rPr>
          <w:b/>
          <w:bCs/>
        </w:rPr>
        <w:instrText xml:space="preserve"> SEQ Figure \* ARABIC </w:instrText>
      </w:r>
      <w:r>
        <w:rPr>
          <w:b/>
          <w:bCs/>
        </w:rPr>
        <w:fldChar w:fldCharType="separate"/>
      </w:r>
      <w:r>
        <w:rPr>
          <w:b/>
          <w:bCs/>
        </w:rPr>
        <w:t>1</w:t>
      </w:r>
      <w:r>
        <w:rPr>
          <w:b/>
          <w:bCs/>
        </w:rPr>
        <w:fldChar w:fldCharType="end"/>
      </w:r>
      <w:bookmarkEnd w:id="2"/>
      <w:r>
        <w:rPr>
          <w:rFonts w:hint="eastAsia"/>
          <w:b/>
          <w:bCs/>
          <w:lang w:val="en-US" w:eastAsia="zh-CN"/>
        </w:rPr>
        <w:t xml:space="preserve"> Geometry of transport industry at 700 MHz</w:t>
      </w:r>
    </w:p>
    <w:p>
      <w:pPr>
        <w:pStyle w:val="2"/>
        <w:rPr>
          <w:lang w:eastAsia="zh-CN"/>
        </w:rPr>
      </w:pPr>
      <w:r>
        <w:rPr>
          <w:rFonts w:hint="eastAsia"/>
          <w:lang w:eastAsia="zh-CN"/>
        </w:rPr>
        <w:t>S</w:t>
      </w:r>
      <w:r>
        <w:rPr>
          <w:lang w:eastAsia="zh-CN"/>
        </w:rPr>
        <w:t>imulation results</w:t>
      </w:r>
    </w:p>
    <w:p>
      <w:pPr>
        <w:rPr>
          <w:rFonts w:hint="eastAsia"/>
          <w:lang w:val="en-US" w:eastAsia="zh-CN"/>
        </w:rPr>
      </w:pPr>
      <w:r>
        <w:rPr>
          <w:rFonts w:hint="eastAsia"/>
          <w:lang w:val="en-US" w:eastAsia="zh-CN"/>
        </w:rPr>
        <w:t xml:space="preserve">This section provides the detailed simulation results of transport industry at 700 MHz including both DL and UL. During RAN1#94b </w:t>
      </w:r>
      <w:r>
        <w:rPr>
          <w:rFonts w:hint="eastAsia"/>
          <w:lang w:val="en-US" w:eastAsia="zh-CN"/>
        </w:rPr>
        <w:fldChar w:fldCharType="begin"/>
      </w:r>
      <w:r>
        <w:rPr>
          <w:rFonts w:hint="eastAsia"/>
          <w:lang w:val="en-US" w:eastAsia="zh-CN"/>
        </w:rPr>
        <w:instrText xml:space="preserve"> REF _Ref28032 \n \h </w:instrText>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two options, i.e., percentage of UEs satisfying eURLLC requirements and maximum offered cell load, are agreed to be applied as the performance metrics. Furthermore, companies converged on the following agrements in RAN1#95 for better calibration and comparison </w:t>
      </w:r>
      <w:r>
        <w:rPr>
          <w:rFonts w:hint="eastAsia"/>
          <w:lang w:val="en-US" w:eastAsia="zh-CN"/>
        </w:rPr>
        <w:fldChar w:fldCharType="begin"/>
      </w:r>
      <w:r>
        <w:rPr>
          <w:rFonts w:hint="eastAsia"/>
          <w:lang w:val="en-US" w:eastAsia="zh-CN"/>
        </w:rPr>
        <w:instrText xml:space="preserve"> REF _Ref11666 \n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Times New Roman" w:hAnsi="Times New Roman"/>
                <w:b/>
                <w:szCs w:val="20"/>
              </w:rPr>
            </w:pPr>
            <w:r>
              <w:rPr>
                <w:rFonts w:ascii="Times New Roman" w:hAnsi="Times New Roman"/>
                <w:szCs w:val="20"/>
                <w:highlight w:val="green"/>
              </w:rPr>
              <w:t>Agreements</w:t>
            </w:r>
            <w:r>
              <w:rPr>
                <w:rFonts w:ascii="Times New Roman" w:hAnsi="Times New Roman"/>
                <w:b/>
                <w:szCs w:val="20"/>
              </w:rPr>
              <w:t>:</w:t>
            </w:r>
          </w:p>
          <w:p>
            <w:pPr>
              <w:numPr>
                <w:ilvl w:val="0"/>
                <w:numId w:val="10"/>
              </w:numPr>
              <w:spacing w:before="120" w:line="280" w:lineRule="atLeast"/>
              <w:rPr>
                <w:rFonts w:ascii="Times New Roman" w:hAnsi="Times New Roman"/>
                <w:szCs w:val="20"/>
              </w:rPr>
            </w:pPr>
            <w:r>
              <w:rPr>
                <w:rFonts w:ascii="Times New Roman" w:hAnsi="Times New Roman"/>
                <w:szCs w:val="20"/>
              </w:rPr>
              <w:t>Companies report the value of X used in the evaluations (either ~5% or 0%).</w:t>
            </w:r>
          </w:p>
          <w:p>
            <w:pPr>
              <w:numPr>
                <w:ilvl w:val="1"/>
                <w:numId w:val="10"/>
              </w:numPr>
              <w:spacing w:before="120" w:line="280" w:lineRule="atLeast"/>
              <w:rPr>
                <w:rFonts w:hint="default"/>
                <w:vertAlign w:val="baseline"/>
                <w:lang w:val="en-US" w:eastAsia="zh-CN"/>
              </w:rPr>
            </w:pPr>
            <w:r>
              <w:rPr>
                <w:rFonts w:ascii="Times New Roman" w:hAnsi="Times New Roman"/>
                <w:szCs w:val="20"/>
              </w:rPr>
              <w:t xml:space="preserve">The value of X should be 0% if re-dropping is used in the evaluations. </w:t>
            </w:r>
          </w:p>
        </w:tc>
      </w:tr>
    </w:tbl>
    <w:p>
      <w:pPr>
        <w:rPr>
          <w:rFonts w:hint="default"/>
          <w:lang w:val="en-US" w:eastAsia="zh-CN"/>
        </w:rPr>
      </w:pPr>
    </w:p>
    <w:p>
      <w:pPr>
        <w:rPr>
          <w:lang w:val="en-GB" w:eastAsia="zh-CN"/>
        </w:rPr>
      </w:pPr>
      <w:r>
        <w:rPr>
          <w:rFonts w:hint="eastAsia"/>
          <w:lang w:val="en-US" w:eastAsia="zh-CN"/>
        </w:rPr>
        <w:t xml:space="preserve">In this section, we provide both percentage of UEs satisfying eURLLC requirements and maximum offered cell load. </w:t>
      </w:r>
      <w:r>
        <w:rPr>
          <w:rFonts w:hint="eastAsia"/>
          <w:lang w:eastAsia="zh-CN"/>
        </w:rPr>
        <w:t>All the simulation results are based on the assumption of no re-drop.</w:t>
      </w:r>
      <w:r>
        <w:rPr>
          <w:rFonts w:hint="eastAsia"/>
          <w:lang w:val="en-US" w:eastAsia="zh-CN"/>
        </w:rPr>
        <w:t xml:space="preserve"> The detailed simulation assumptions for eURLLC SLS are summarized in </w:t>
      </w:r>
      <w:r>
        <w:rPr>
          <w:rFonts w:hint="eastAsia"/>
          <w:highlight w:val="none"/>
          <w:lang w:val="en-US" w:eastAsia="zh-CN"/>
        </w:rPr>
        <w:t>Table A-1 in the appendix</w:t>
      </w:r>
      <w:r>
        <w:rPr>
          <w:rFonts w:hint="eastAsia"/>
          <w:lang w:val="en-US" w:eastAsia="zh-CN"/>
        </w:rPr>
        <w:t>.</w:t>
      </w:r>
    </w:p>
    <w:p>
      <w:pPr>
        <w:pStyle w:val="3"/>
        <w:rPr>
          <w:lang w:eastAsia="zh-CN"/>
        </w:rPr>
      </w:pPr>
      <w:r>
        <w:rPr>
          <w:rFonts w:hint="eastAsia"/>
          <w:lang w:eastAsia="zh-CN"/>
        </w:rPr>
        <w:t>D</w:t>
      </w:r>
      <w:r>
        <w:rPr>
          <w:lang w:eastAsia="zh-CN"/>
        </w:rPr>
        <w:t>ownlink</w:t>
      </w:r>
    </w:p>
    <w:p>
      <w:pPr>
        <w:rPr>
          <w:rFonts w:hint="default"/>
          <w:lang w:val="en-US" w:eastAsia="zh-CN"/>
        </w:rPr>
      </w:pPr>
      <w:r>
        <w:rPr>
          <w:lang w:eastAsia="zh-CN"/>
        </w:rPr>
        <w:t xml:space="preserve">All the downlink transmission is grant-based with a </w:t>
      </w:r>
      <w:r>
        <w:rPr>
          <w:rFonts w:hint="eastAsia"/>
          <w:highlight w:val="none"/>
          <w:lang w:eastAsia="zh-CN"/>
        </w:rPr>
        <w:t>latency-prioritized scheduling algorithm</w:t>
      </w:r>
      <w:r>
        <w:rPr>
          <w:lang w:eastAsia="zh-CN"/>
        </w:rPr>
        <w:t xml:space="preserve">. </w:t>
      </w:r>
      <w:r>
        <w:rPr>
          <w:rFonts w:hint="eastAsia"/>
          <w:lang w:eastAsia="zh-CN"/>
        </w:rPr>
        <w:t>T</w:t>
      </w:r>
      <w:r>
        <w:rPr>
          <w:lang w:eastAsia="zh-CN"/>
        </w:rPr>
        <w:t xml:space="preserve">he DL simulation results of </w:t>
      </w:r>
      <w:r>
        <w:rPr>
          <w:rFonts w:hint="eastAsia"/>
          <w:lang w:val="en-US" w:eastAsia="zh-CN"/>
        </w:rPr>
        <w:t>remote driving</w:t>
      </w:r>
      <w:r>
        <w:rPr>
          <w:lang w:eastAsia="zh-CN"/>
        </w:rPr>
        <w:t xml:space="preserve"> at </w:t>
      </w:r>
      <w:r>
        <w:rPr>
          <w:rFonts w:hint="eastAsia"/>
          <w:lang w:val="en-US" w:eastAsia="zh-CN"/>
        </w:rPr>
        <w:t>700 M</w:t>
      </w:r>
      <w:r>
        <w:rPr>
          <w:lang w:eastAsia="zh-CN"/>
        </w:rPr>
        <w:t xml:space="preserve">Hz are summarized in </w:t>
      </w:r>
      <w:r>
        <w:rPr>
          <w:rFonts w:hint="default"/>
          <w:lang w:val="en-US" w:eastAsia="zh-CN"/>
        </w:rPr>
        <w:fldChar w:fldCharType="begin"/>
      </w:r>
      <w:r>
        <w:rPr>
          <w:rFonts w:hint="default"/>
          <w:lang w:val="en-US" w:eastAsia="zh-CN"/>
        </w:rPr>
        <w:instrText xml:space="preserve"> REF _Ref11741 \h </w:instrText>
      </w:r>
      <w:r>
        <w:rPr>
          <w:rFonts w:hint="default"/>
          <w:lang w:val="en-US" w:eastAsia="zh-CN"/>
        </w:rPr>
        <w:fldChar w:fldCharType="separate"/>
      </w:r>
      <w:r>
        <w:t>Table 2</w:t>
      </w:r>
      <w:r>
        <w:rPr>
          <w:rFonts w:hint="default"/>
          <w:lang w:val="en-US" w:eastAsia="zh-CN"/>
        </w:rPr>
        <w:fldChar w:fldCharType="end"/>
      </w:r>
      <w:r>
        <w:rPr>
          <w:rFonts w:hint="eastAsia"/>
          <w:lang w:val="en-US" w:eastAsia="zh-CN"/>
        </w:rPr>
        <w:t xml:space="preserve"> and t</w:t>
      </w:r>
      <w:r>
        <w:rPr>
          <w:lang w:eastAsia="zh-CN"/>
        </w:rPr>
        <w:t xml:space="preserve">he DL simulation results of </w:t>
      </w:r>
      <w:r>
        <w:rPr>
          <w:rFonts w:hint="eastAsia"/>
          <w:lang w:val="en-US" w:eastAsia="zh-CN"/>
        </w:rPr>
        <w:t>ITS</w:t>
      </w:r>
      <w:r>
        <w:rPr>
          <w:lang w:eastAsia="zh-CN"/>
        </w:rPr>
        <w:t xml:space="preserve"> at </w:t>
      </w:r>
      <w:r>
        <w:rPr>
          <w:rFonts w:hint="eastAsia"/>
          <w:lang w:val="en-US" w:eastAsia="zh-CN"/>
        </w:rPr>
        <w:t>700 M</w:t>
      </w:r>
      <w:r>
        <w:rPr>
          <w:lang w:eastAsia="zh-CN"/>
        </w:rPr>
        <w:t xml:space="preserve">Hz are summarized in </w:t>
      </w:r>
      <w:r>
        <w:rPr>
          <w:rFonts w:hint="default"/>
          <w:lang w:val="en-US" w:eastAsia="zh-CN"/>
        </w:rPr>
        <w:fldChar w:fldCharType="begin"/>
      </w:r>
      <w:r>
        <w:rPr>
          <w:rFonts w:hint="default"/>
          <w:lang w:val="en-US" w:eastAsia="zh-CN"/>
        </w:rPr>
        <w:instrText xml:space="preserve"> REF _Ref11161 \h </w:instrText>
      </w:r>
      <w:r>
        <w:rPr>
          <w:rFonts w:hint="default"/>
          <w:lang w:val="en-US" w:eastAsia="zh-CN"/>
        </w:rPr>
        <w:fldChar w:fldCharType="separate"/>
      </w:r>
      <w:r>
        <w:t>Table 3</w:t>
      </w:r>
      <w:r>
        <w:rPr>
          <w:rFonts w:hint="default"/>
          <w:lang w:val="en-US" w:eastAsia="zh-CN"/>
        </w:rPr>
        <w:fldChar w:fldCharType="end"/>
      </w:r>
      <w:r>
        <w:rPr>
          <w:rFonts w:hint="eastAsia"/>
          <w:lang w:val="en-US" w:eastAsia="zh-CN"/>
        </w:rPr>
        <w:t>.</w:t>
      </w:r>
    </w:p>
    <w:p>
      <w:pPr>
        <w:pStyle w:val="30"/>
        <w:jc w:val="center"/>
        <w:rPr>
          <w:rFonts w:hint="default" w:eastAsia="宋体"/>
          <w:lang w:val="en-US" w:eastAsia="zh-CN"/>
        </w:rPr>
      </w:pPr>
      <w:r>
        <w:t xml:space="preserve">Table </w:t>
      </w:r>
      <w:r>
        <w:fldChar w:fldCharType="begin"/>
      </w:r>
      <w:r>
        <w:instrText xml:space="preserve"> SEQ Table \* ARABIC </w:instrText>
      </w:r>
      <w:r>
        <w:fldChar w:fldCharType="separate"/>
      </w:r>
      <w:r>
        <w:t>2</w:t>
      </w:r>
      <w:r>
        <w:fldChar w:fldCharType="end"/>
      </w:r>
      <w:r>
        <w:rPr>
          <w:rFonts w:hint="eastAsia"/>
          <w:lang w:val="en-US" w:eastAsia="zh-CN"/>
        </w:rPr>
        <w:t xml:space="preserve"> DL Simulation results of transport industry (Remote driving) at 700 MHz</w:t>
      </w:r>
    </w:p>
    <w:tbl>
      <w:tblPr>
        <w:tblStyle w:val="56"/>
        <w:tblW w:w="9321"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8"/>
        <w:gridCol w:w="2824"/>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21" w:type="dxa"/>
            <w:gridSpan w:val="3"/>
          </w:tcPr>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Description: Remote driving</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Reliability: 99.999%</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 xml:space="preserve">Latency: 5 (end to end latency), Note: 3ms air interface latency </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Packet size: For UL: 2.5 Mpbs; Packet size 5220 bytes. For DL: 1Mbps; Packet size 2083 bytes.</w:t>
            </w:r>
          </w:p>
          <w:p>
            <w:pPr>
              <w:pStyle w:val="143"/>
              <w:spacing w:line="280" w:lineRule="atLeast"/>
              <w:ind w:firstLine="1000" w:firstLineChars="500"/>
              <w:rPr>
                <w:rFonts w:hint="default"/>
                <w:vertAlign w:val="baseline"/>
                <w:lang w:val="en-US" w:eastAsia="zh-CN"/>
              </w:rPr>
            </w:pPr>
            <w:r>
              <w:rPr>
                <w:rFonts w:hint="eastAsia" w:ascii="Times New Roman" w:hAnsi="Times New Roman"/>
                <w:i w:val="0"/>
                <w:sz w:val="20"/>
                <w:szCs w:val="20"/>
                <w:lang w:val="en-US" w:eastAsia="zh-CN"/>
              </w:rPr>
              <w:t>Note: Data arrival rate 60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jc w:val="center"/>
              <w:rPr>
                <w:rFonts w:hint="default"/>
                <w:vertAlign w:val="baseline"/>
                <w:lang w:val="en-US" w:eastAsia="zh-CN"/>
              </w:rPr>
            </w:pPr>
            <w:r>
              <w:rPr>
                <w:rFonts w:hint="eastAsia"/>
                <w:vertAlign w:val="baseline"/>
                <w:lang w:val="en-US" w:eastAsia="zh-CN"/>
              </w:rPr>
              <w:t>Scenario configurations</w:t>
            </w:r>
          </w:p>
        </w:tc>
        <w:tc>
          <w:tcPr>
            <w:tcW w:w="2824" w:type="dxa"/>
          </w:tcPr>
          <w:p>
            <w:pPr>
              <w:spacing w:before="120" w:line="280" w:lineRule="atLeast"/>
              <w:jc w:val="center"/>
              <w:rPr>
                <w:rFonts w:hint="default"/>
                <w:vertAlign w:val="baseline"/>
                <w:lang w:val="en-US" w:eastAsia="zh-CN"/>
              </w:rPr>
            </w:pPr>
            <w:r>
              <w:rPr>
                <w:rFonts w:hint="eastAsia"/>
                <w:vertAlign w:val="baseline"/>
                <w:lang w:val="en-US" w:eastAsia="zh-CN"/>
              </w:rPr>
              <w:t>Offered cell load (Mbps)</w:t>
            </w:r>
          </w:p>
        </w:tc>
        <w:tc>
          <w:tcPr>
            <w:tcW w:w="2959" w:type="dxa"/>
          </w:tcPr>
          <w:p>
            <w:pPr>
              <w:spacing w:before="120" w:line="280" w:lineRule="atLeast"/>
              <w:jc w:val="center"/>
              <w:rPr>
                <w:rFonts w:hint="default"/>
                <w:vertAlign w:val="baseline"/>
                <w:lang w:val="en-US" w:eastAsia="zh-CN"/>
              </w:rPr>
            </w:pPr>
            <w:r>
              <w:rPr>
                <w:rFonts w:hint="eastAsia"/>
                <w:vertAlign w:val="baseline"/>
                <w:lang w:val="en-US"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jc w:val="center"/>
              <w:rPr>
                <w:vertAlign w:val="baseline"/>
                <w:lang w:eastAsia="zh-CN"/>
              </w:rPr>
            </w:pPr>
            <w:r>
              <w:rPr>
                <w:rFonts w:hint="eastAsia"/>
                <w:vertAlign w:val="baseline"/>
                <w:lang w:val="en-US" w:eastAsia="zh-CN"/>
              </w:rPr>
              <w:t>UE number per cell: 2</w:t>
            </w:r>
          </w:p>
        </w:tc>
        <w:tc>
          <w:tcPr>
            <w:tcW w:w="2824" w:type="dxa"/>
          </w:tcPr>
          <w:p>
            <w:pPr>
              <w:spacing w:before="120" w:line="280" w:lineRule="atLeast"/>
              <w:jc w:val="center"/>
              <w:rPr>
                <w:vertAlign w:val="baseline"/>
                <w:lang w:eastAsia="zh-CN"/>
              </w:rPr>
            </w:pPr>
            <w:r>
              <w:rPr>
                <w:rFonts w:hint="eastAsia"/>
                <w:vertAlign w:val="baseline"/>
                <w:lang w:eastAsia="zh-CN"/>
              </w:rPr>
              <w:t>1.9081</w:t>
            </w:r>
          </w:p>
        </w:tc>
        <w:tc>
          <w:tcPr>
            <w:tcW w:w="2959" w:type="dxa"/>
          </w:tcPr>
          <w:p>
            <w:pPr>
              <w:spacing w:before="120" w:line="280" w:lineRule="atLeast"/>
              <w:jc w:val="center"/>
              <w:rPr>
                <w:rFonts w:hint="default"/>
                <w:vertAlign w:val="baseline"/>
                <w:lang w:val="en-US" w:eastAsia="zh-CN"/>
              </w:rPr>
            </w:pPr>
            <w:r>
              <w:rPr>
                <w:rFonts w:hint="eastAsia"/>
                <w:vertAlign w:val="baseline"/>
                <w:lang w:val="en-US" w:eastAsia="zh-CN"/>
              </w:rPr>
              <w:t>4.8%</w:t>
            </w:r>
          </w:p>
        </w:tc>
      </w:tr>
    </w:tbl>
    <w:p>
      <w:pPr>
        <w:rPr>
          <w:lang w:eastAsia="zh-CN"/>
        </w:rPr>
      </w:pPr>
    </w:p>
    <w:tbl>
      <w:tblPr>
        <w:tblStyle w:val="56"/>
        <w:tblpPr w:leftFromText="180" w:rightFromText="180" w:vertAnchor="text" w:horzAnchor="page" w:tblpX="1413" w:tblpY="410"/>
        <w:tblOverlap w:val="never"/>
        <w:tblW w:w="9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4"/>
        <w:gridCol w:w="2818"/>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2" w:type="dxa"/>
            <w:gridSpan w:val="3"/>
          </w:tcPr>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Description: Intelligent transport system (ITS)</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Reliability: 99.999%</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Latency: 10(end to end latency), Note: 7ms air interface latency</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Packet size: 1.1 Mbps, Packet size 1370 bytes.</w:t>
            </w:r>
          </w:p>
          <w:p>
            <w:pPr>
              <w:pStyle w:val="143"/>
              <w:spacing w:line="280" w:lineRule="atLeast"/>
              <w:ind w:firstLine="1000" w:firstLineChars="500"/>
              <w:rPr>
                <w:rFonts w:hint="default"/>
                <w:vertAlign w:val="baseline"/>
                <w:lang w:val="en-US" w:eastAsia="zh-CN"/>
              </w:rPr>
            </w:pPr>
            <w:r>
              <w:rPr>
                <w:rFonts w:hint="eastAsia" w:ascii="Times New Roman" w:hAnsi="Times New Roman"/>
                <w:i w:val="0"/>
                <w:sz w:val="20"/>
                <w:szCs w:val="20"/>
                <w:lang w:val="en-US" w:eastAsia="zh-CN"/>
              </w:rPr>
              <w:t>Note: Data arrival rate 100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jc w:val="center"/>
              <w:rPr>
                <w:rFonts w:hint="default"/>
                <w:vertAlign w:val="baseline"/>
                <w:lang w:val="en-US" w:eastAsia="zh-CN"/>
              </w:rPr>
            </w:pPr>
            <w:r>
              <w:rPr>
                <w:rFonts w:hint="eastAsia"/>
                <w:vertAlign w:val="baseline"/>
                <w:lang w:val="en-US" w:eastAsia="zh-CN"/>
              </w:rPr>
              <w:t>Scenario configurations</w:t>
            </w:r>
          </w:p>
        </w:tc>
        <w:tc>
          <w:tcPr>
            <w:tcW w:w="2818" w:type="dxa"/>
          </w:tcPr>
          <w:p>
            <w:pPr>
              <w:spacing w:before="120" w:line="280" w:lineRule="atLeast"/>
              <w:jc w:val="center"/>
              <w:rPr>
                <w:rFonts w:hint="default"/>
                <w:vertAlign w:val="baseline"/>
                <w:lang w:val="en-US" w:eastAsia="zh-CN"/>
              </w:rPr>
            </w:pPr>
            <w:r>
              <w:rPr>
                <w:rFonts w:hint="eastAsia"/>
                <w:vertAlign w:val="baseline"/>
                <w:lang w:val="en-US" w:eastAsia="zh-CN"/>
              </w:rPr>
              <w:t>Offered cell load (Mbps)</w:t>
            </w:r>
          </w:p>
        </w:tc>
        <w:tc>
          <w:tcPr>
            <w:tcW w:w="3000" w:type="dxa"/>
          </w:tcPr>
          <w:p>
            <w:pPr>
              <w:spacing w:before="120" w:line="280" w:lineRule="atLeast"/>
              <w:jc w:val="center"/>
              <w:rPr>
                <w:rFonts w:hint="default"/>
                <w:vertAlign w:val="baseline"/>
                <w:lang w:val="en-US" w:eastAsia="zh-CN"/>
              </w:rPr>
            </w:pPr>
            <w:r>
              <w:rPr>
                <w:rFonts w:hint="eastAsia"/>
                <w:vertAlign w:val="baseline"/>
                <w:lang w:val="en-US"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rPr>
                <w:vertAlign w:val="baseline"/>
                <w:lang w:eastAsia="zh-CN"/>
              </w:rPr>
            </w:pPr>
            <w:r>
              <w:rPr>
                <w:rFonts w:hint="eastAsia" w:ascii="Times New Roman" w:hAnsi="Times New Roman" w:eastAsia="宋体" w:cs="Times New Roman"/>
                <w:i w:val="0"/>
                <w:sz w:val="21"/>
                <w:szCs w:val="22"/>
                <w:vertAlign w:val="baseline"/>
                <w:lang w:val="en-US" w:eastAsia="zh-CN" w:bidi="ar-SA"/>
              </w:rPr>
              <w:t>UE number per cell: 2</w:t>
            </w:r>
          </w:p>
        </w:tc>
        <w:tc>
          <w:tcPr>
            <w:tcW w:w="2818" w:type="dxa"/>
          </w:tcPr>
          <w:p>
            <w:pPr>
              <w:spacing w:before="120" w:line="280" w:lineRule="atLeast"/>
              <w:jc w:val="center"/>
              <w:rPr>
                <w:vertAlign w:val="baseline"/>
                <w:lang w:eastAsia="zh-CN"/>
              </w:rPr>
            </w:pPr>
            <w:r>
              <w:rPr>
                <w:rFonts w:hint="eastAsia"/>
                <w:vertAlign w:val="baseline"/>
                <w:lang w:eastAsia="zh-CN"/>
              </w:rPr>
              <w:t>2.0920</w:t>
            </w:r>
          </w:p>
        </w:tc>
        <w:tc>
          <w:tcPr>
            <w:tcW w:w="3000" w:type="dxa"/>
          </w:tcPr>
          <w:p>
            <w:pPr>
              <w:spacing w:before="120" w:line="280" w:lineRule="atLeast"/>
              <w:jc w:val="center"/>
              <w:rPr>
                <w:rFonts w:hint="default"/>
                <w:vertAlign w:val="baseline"/>
                <w:lang w:val="en-US" w:eastAsia="zh-CN"/>
              </w:rPr>
            </w:pPr>
            <w:r>
              <w:rPr>
                <w:rFonts w:hint="eastAsia"/>
                <w:vertAlign w:val="baseline"/>
                <w:lang w:val="en-US" w:eastAsia="zh-CN"/>
              </w:rPr>
              <w:t>0%</w:t>
            </w:r>
          </w:p>
        </w:tc>
      </w:tr>
    </w:tbl>
    <w:p>
      <w:pPr>
        <w:pStyle w:val="30"/>
        <w:jc w:val="center"/>
        <w:rPr>
          <w:rFonts w:hint="default" w:eastAsia="宋体"/>
          <w:lang w:val="en-US" w:eastAsia="zh-CN"/>
        </w:rPr>
      </w:pPr>
      <w:bookmarkStart w:id="3" w:name="_Ref11161"/>
      <w:r>
        <w:t xml:space="preserve">Table </w:t>
      </w:r>
      <w:r>
        <w:fldChar w:fldCharType="begin"/>
      </w:r>
      <w:r>
        <w:instrText xml:space="preserve"> SEQ Table \* ARABIC </w:instrText>
      </w:r>
      <w:r>
        <w:fldChar w:fldCharType="separate"/>
      </w:r>
      <w:r>
        <w:t>3</w:t>
      </w:r>
      <w:r>
        <w:fldChar w:fldCharType="end"/>
      </w:r>
      <w:bookmarkEnd w:id="3"/>
      <w:r>
        <w:rPr>
          <w:rFonts w:hint="eastAsia"/>
          <w:lang w:val="en-US" w:eastAsia="zh-CN"/>
        </w:rPr>
        <w:t xml:space="preserve"> DL Simulation results of transport industry (ITS) at 700 MHz</w:t>
      </w:r>
    </w:p>
    <w:p>
      <w:pPr>
        <w:rPr>
          <w:lang w:val="en-GB" w:eastAsia="zh-CN"/>
        </w:rPr>
      </w:pPr>
    </w:p>
    <w:p>
      <w:pPr>
        <w:pStyle w:val="138"/>
        <w:numPr>
          <w:ilvl w:val="0"/>
          <w:numId w:val="0"/>
        </w:numPr>
        <w:rPr>
          <w:lang w:val="en-GB" w:eastAsia="zh-CN"/>
        </w:rPr>
      </w:pPr>
      <w:r>
        <w:rPr>
          <w:rFonts w:hint="eastAsia"/>
          <w:lang w:val="en-US" w:eastAsia="zh-CN"/>
        </w:rPr>
        <w:t xml:space="preserve">Observation 2: </w:t>
      </w:r>
      <w:r>
        <w:rPr>
          <w:rFonts w:hint="eastAsia" w:eastAsia="宋体"/>
          <w:lang w:val="en-US" w:eastAsia="zh-CN"/>
        </w:rPr>
        <w:t>For</w:t>
      </w:r>
      <w:r>
        <w:rPr>
          <w:lang w:val="en-GB"/>
        </w:rPr>
        <w:t xml:space="preserve"> </w:t>
      </w:r>
      <w:r>
        <w:rPr>
          <w:rFonts w:hint="eastAsia"/>
          <w:lang w:val="en-US" w:eastAsia="zh-CN"/>
        </w:rPr>
        <w:t>transportation industry</w:t>
      </w:r>
      <w:r>
        <w:rPr>
          <w:lang w:val="en-GB"/>
        </w:rPr>
        <w:t xml:space="preserve"> at</w:t>
      </w:r>
      <w:r>
        <w:rPr>
          <w:rFonts w:hint="eastAsia" w:eastAsia="宋体"/>
          <w:lang w:val="en-US" w:eastAsia="zh-CN"/>
        </w:rPr>
        <w:t xml:space="preserve"> 700MHz</w:t>
      </w:r>
      <w:r>
        <w:rPr>
          <w:lang w:val="en-GB"/>
        </w:rPr>
        <w:t xml:space="preserve"> with </w:t>
      </w:r>
      <w:r>
        <w:rPr>
          <w:rFonts w:hint="eastAsia"/>
          <w:lang w:val="en-US" w:eastAsia="zh-CN"/>
        </w:rPr>
        <w:t>2</w:t>
      </w:r>
      <w:r>
        <w:rPr>
          <w:lang w:val="en-GB"/>
        </w:rPr>
        <w:t xml:space="preserve"> UEs per cell, </w:t>
      </w:r>
      <w:r>
        <w:rPr>
          <w:rFonts w:hint="eastAsia"/>
          <w:lang w:val="en-US" w:eastAsia="zh-CN"/>
        </w:rPr>
        <w:t>the outage percentage is smaller than 5% for downlink</w:t>
      </w:r>
      <w:r>
        <w:rPr>
          <w:lang w:val="en-GB"/>
        </w:rPr>
        <w:t>.</w:t>
      </w:r>
      <w:bookmarkStart w:id="12" w:name="_GoBack"/>
      <w:bookmarkEnd w:id="12"/>
    </w:p>
    <w:p>
      <w:pPr>
        <w:pStyle w:val="3"/>
        <w:rPr>
          <w:lang w:eastAsia="zh-CN"/>
        </w:rPr>
      </w:pPr>
      <w:r>
        <w:rPr>
          <w:lang w:eastAsia="zh-CN"/>
        </w:rPr>
        <w:t>Uplink</w:t>
      </w:r>
    </w:p>
    <w:p>
      <w:pPr>
        <w:rPr>
          <w:rFonts w:hint="default"/>
          <w:lang w:val="en-US" w:eastAsia="zh-CN"/>
        </w:rPr>
      </w:pPr>
      <w:r>
        <w:rPr>
          <w:lang w:eastAsia="zh-CN"/>
        </w:rPr>
        <w:t xml:space="preserve">All the </w:t>
      </w:r>
      <w:r>
        <w:rPr>
          <w:rFonts w:hint="eastAsia"/>
          <w:lang w:val="en-US" w:eastAsia="zh-CN"/>
        </w:rPr>
        <w:t xml:space="preserve">uplink </w:t>
      </w:r>
      <w:r>
        <w:rPr>
          <w:lang w:eastAsia="zh-CN"/>
        </w:rPr>
        <w:t xml:space="preserve">transmission is grant-based with a </w:t>
      </w:r>
      <w:r>
        <w:rPr>
          <w:rFonts w:hint="eastAsia"/>
          <w:highlight w:val="none"/>
          <w:lang w:eastAsia="zh-CN"/>
        </w:rPr>
        <w:t>latency-prioritized scheduling algorithm</w:t>
      </w:r>
      <w:r>
        <w:rPr>
          <w:rFonts w:hint="eastAsia"/>
          <w:highlight w:val="none"/>
          <w:lang w:val="en-US" w:eastAsia="zh-CN"/>
        </w:rPr>
        <w:t>.</w:t>
      </w:r>
      <w:r>
        <w:rPr>
          <w:rFonts w:hint="eastAsia"/>
          <w:lang w:val="en-US" w:eastAsia="zh-CN"/>
        </w:rPr>
        <w:t xml:space="preserve"> </w:t>
      </w:r>
      <w:r>
        <w:rPr>
          <w:rFonts w:hint="eastAsia"/>
          <w:lang w:eastAsia="zh-CN"/>
        </w:rPr>
        <w:t>T</w:t>
      </w:r>
      <w:r>
        <w:rPr>
          <w:lang w:eastAsia="zh-CN"/>
        </w:rPr>
        <w:t xml:space="preserve">he </w:t>
      </w:r>
      <w:r>
        <w:rPr>
          <w:rFonts w:hint="eastAsia"/>
          <w:lang w:val="en-US" w:eastAsia="zh-CN"/>
        </w:rPr>
        <w:t>UL</w:t>
      </w:r>
      <w:r>
        <w:rPr>
          <w:lang w:eastAsia="zh-CN"/>
        </w:rPr>
        <w:t xml:space="preserve"> simulation results of </w:t>
      </w:r>
      <w:r>
        <w:rPr>
          <w:rFonts w:hint="eastAsia"/>
          <w:lang w:val="en-US" w:eastAsia="zh-CN"/>
        </w:rPr>
        <w:t>ITS</w:t>
      </w:r>
      <w:r>
        <w:rPr>
          <w:lang w:eastAsia="zh-CN"/>
        </w:rPr>
        <w:t xml:space="preserve"> at </w:t>
      </w:r>
      <w:r>
        <w:rPr>
          <w:rFonts w:hint="eastAsia"/>
          <w:lang w:val="en-US" w:eastAsia="zh-CN"/>
        </w:rPr>
        <w:t>700 M</w:t>
      </w:r>
      <w:r>
        <w:rPr>
          <w:lang w:eastAsia="zh-CN"/>
        </w:rPr>
        <w:t xml:space="preserve">Hz are summarized in </w:t>
      </w:r>
      <w:r>
        <w:rPr>
          <w:rFonts w:hint="default"/>
          <w:lang w:val="en-US" w:eastAsia="zh-CN"/>
        </w:rPr>
        <w:fldChar w:fldCharType="begin"/>
      </w:r>
      <w:r>
        <w:rPr>
          <w:rFonts w:hint="default"/>
          <w:lang w:val="en-US" w:eastAsia="zh-CN"/>
        </w:rPr>
        <w:instrText xml:space="preserve"> REF _Ref11464 \h </w:instrText>
      </w:r>
      <w:r>
        <w:rPr>
          <w:rFonts w:hint="default"/>
          <w:lang w:val="en-US" w:eastAsia="zh-CN"/>
        </w:rPr>
        <w:fldChar w:fldCharType="separate"/>
      </w:r>
      <w:r>
        <w:t>Table 4</w:t>
      </w:r>
      <w:r>
        <w:rPr>
          <w:rFonts w:hint="default"/>
          <w:lang w:val="en-US" w:eastAsia="zh-CN"/>
        </w:rPr>
        <w:fldChar w:fldCharType="end"/>
      </w:r>
      <w:r>
        <w:rPr>
          <w:rFonts w:hint="eastAsia"/>
          <w:lang w:val="en-US" w:eastAsia="zh-CN"/>
        </w:rPr>
        <w:t xml:space="preserve">. </w:t>
      </w:r>
      <w:r>
        <w:rPr>
          <w:lang w:eastAsia="zh-CN"/>
        </w:rPr>
        <w:t xml:space="preserve">As we can see, </w:t>
      </w:r>
      <w:r>
        <w:rPr>
          <w:rFonts w:hint="eastAsia"/>
          <w:lang w:val="en-US" w:eastAsia="zh-CN"/>
        </w:rPr>
        <w:t xml:space="preserve">only 4.8% of </w:t>
      </w:r>
      <w:r>
        <w:rPr>
          <w:lang w:eastAsia="zh-CN"/>
        </w:rPr>
        <w:t>UEs can</w:t>
      </w:r>
      <w:r>
        <w:rPr>
          <w:rFonts w:hint="default"/>
          <w:lang w:val="en-US" w:eastAsia="zh-CN"/>
        </w:rPr>
        <w:t>’</w:t>
      </w:r>
      <w:r>
        <w:rPr>
          <w:rFonts w:hint="eastAsia"/>
          <w:lang w:val="en-US" w:eastAsia="zh-CN"/>
        </w:rPr>
        <w:t>t</w:t>
      </w:r>
      <w:r>
        <w:rPr>
          <w:lang w:eastAsia="zh-CN"/>
        </w:rPr>
        <w:t xml:space="preserve"> satisfy the corresponding reliability and latency requirements.</w:t>
      </w:r>
    </w:p>
    <w:tbl>
      <w:tblPr>
        <w:tblStyle w:val="56"/>
        <w:tblpPr w:leftFromText="180" w:rightFromText="180" w:vertAnchor="text" w:horzAnchor="page" w:tblpX="1413" w:tblpY="410"/>
        <w:tblOverlap w:val="never"/>
        <w:tblW w:w="9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4"/>
        <w:gridCol w:w="2818"/>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2" w:type="dxa"/>
            <w:gridSpan w:val="3"/>
          </w:tcPr>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Description: Intelligent transport system (ITS)</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Reliability: 99.999%</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Latency: 10(end to end latency), Note: 7ms air interface latency</w:t>
            </w:r>
          </w:p>
          <w:p>
            <w:pPr>
              <w:pStyle w:val="143"/>
              <w:spacing w:line="280" w:lineRule="atLeast"/>
              <w:rPr>
                <w:rFonts w:hint="default" w:ascii="Times New Roman" w:hAnsi="Times New Roman"/>
                <w:i w:val="0"/>
                <w:sz w:val="20"/>
                <w:szCs w:val="20"/>
                <w:lang w:val="en-US" w:eastAsia="zh-CN"/>
              </w:rPr>
            </w:pPr>
            <w:r>
              <w:rPr>
                <w:rFonts w:hint="eastAsia" w:ascii="Times New Roman" w:hAnsi="Times New Roman"/>
                <w:i w:val="0"/>
                <w:sz w:val="20"/>
                <w:szCs w:val="20"/>
                <w:lang w:val="en-US" w:eastAsia="zh-CN"/>
              </w:rPr>
              <w:t>Packet size: 1.1 Mbps, Packet size 1370 bytes.</w:t>
            </w:r>
          </w:p>
          <w:p>
            <w:pPr>
              <w:pStyle w:val="143"/>
              <w:spacing w:line="280" w:lineRule="atLeast"/>
              <w:ind w:firstLine="1000" w:firstLineChars="500"/>
              <w:rPr>
                <w:rFonts w:hint="default"/>
                <w:vertAlign w:val="baseline"/>
                <w:lang w:val="en-US" w:eastAsia="zh-CN"/>
              </w:rPr>
            </w:pPr>
            <w:r>
              <w:rPr>
                <w:rFonts w:hint="eastAsia" w:ascii="Times New Roman" w:hAnsi="Times New Roman"/>
                <w:i w:val="0"/>
                <w:sz w:val="20"/>
                <w:szCs w:val="20"/>
                <w:lang w:val="en-US" w:eastAsia="zh-CN"/>
              </w:rPr>
              <w:t>Note: Data arrival rate 100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jc w:val="center"/>
              <w:rPr>
                <w:rFonts w:hint="default"/>
                <w:vertAlign w:val="baseline"/>
                <w:lang w:val="en-US" w:eastAsia="zh-CN"/>
              </w:rPr>
            </w:pPr>
            <w:r>
              <w:rPr>
                <w:rFonts w:hint="eastAsia"/>
                <w:vertAlign w:val="baseline"/>
                <w:lang w:val="en-US" w:eastAsia="zh-CN"/>
              </w:rPr>
              <w:t>Scenario configurations</w:t>
            </w:r>
          </w:p>
        </w:tc>
        <w:tc>
          <w:tcPr>
            <w:tcW w:w="2818" w:type="dxa"/>
          </w:tcPr>
          <w:p>
            <w:pPr>
              <w:spacing w:before="120" w:line="280" w:lineRule="atLeast"/>
              <w:jc w:val="center"/>
              <w:rPr>
                <w:rFonts w:hint="default"/>
                <w:vertAlign w:val="baseline"/>
                <w:lang w:val="en-US" w:eastAsia="zh-CN"/>
              </w:rPr>
            </w:pPr>
            <w:r>
              <w:rPr>
                <w:rFonts w:hint="eastAsia"/>
                <w:vertAlign w:val="baseline"/>
                <w:lang w:val="en-US" w:eastAsia="zh-CN"/>
              </w:rPr>
              <w:t>Offered cell load (Mbps)</w:t>
            </w:r>
          </w:p>
        </w:tc>
        <w:tc>
          <w:tcPr>
            <w:tcW w:w="3000" w:type="dxa"/>
          </w:tcPr>
          <w:p>
            <w:pPr>
              <w:spacing w:before="120" w:line="280" w:lineRule="atLeast"/>
              <w:jc w:val="center"/>
              <w:rPr>
                <w:rFonts w:hint="default"/>
                <w:vertAlign w:val="baseline"/>
                <w:lang w:val="en-US" w:eastAsia="zh-CN"/>
              </w:rPr>
            </w:pPr>
            <w:r>
              <w:rPr>
                <w:rFonts w:hint="eastAsia"/>
                <w:vertAlign w:val="baseline"/>
                <w:lang w:val="en-US"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4" w:type="dxa"/>
          </w:tcPr>
          <w:p>
            <w:pPr>
              <w:spacing w:before="120" w:line="280" w:lineRule="atLeast"/>
              <w:rPr>
                <w:vertAlign w:val="baseline"/>
                <w:lang w:eastAsia="zh-CN"/>
              </w:rPr>
            </w:pPr>
            <w:r>
              <w:rPr>
                <w:rFonts w:hint="eastAsia" w:ascii="Times New Roman" w:hAnsi="Times New Roman" w:eastAsia="宋体" w:cs="Times New Roman"/>
                <w:i w:val="0"/>
                <w:sz w:val="21"/>
                <w:szCs w:val="22"/>
                <w:vertAlign w:val="baseline"/>
                <w:lang w:val="en-US" w:eastAsia="zh-CN" w:bidi="ar-SA"/>
              </w:rPr>
              <w:t>UE number per cell: 2</w:t>
            </w:r>
          </w:p>
        </w:tc>
        <w:tc>
          <w:tcPr>
            <w:tcW w:w="2818" w:type="dxa"/>
          </w:tcPr>
          <w:p>
            <w:pPr>
              <w:spacing w:before="120" w:line="280" w:lineRule="atLeast"/>
              <w:jc w:val="center"/>
              <w:rPr>
                <w:rFonts w:hint="eastAsia" w:eastAsia="宋体"/>
                <w:sz w:val="21"/>
                <w:szCs w:val="22"/>
                <w:vertAlign w:val="baseline"/>
                <w:lang w:val="en-US" w:eastAsia="zh-CN"/>
              </w:rPr>
            </w:pPr>
            <w:r>
              <w:rPr>
                <w:rFonts w:hint="eastAsia" w:eastAsia="宋体"/>
                <w:sz w:val="21"/>
                <w:szCs w:val="22"/>
                <w:vertAlign w:val="baseline"/>
                <w:lang w:val="en-US" w:eastAsia="zh-CN"/>
              </w:rPr>
              <w:t>2.0918</w:t>
            </w:r>
          </w:p>
        </w:tc>
        <w:tc>
          <w:tcPr>
            <w:tcW w:w="3000" w:type="dxa"/>
          </w:tcPr>
          <w:p>
            <w:pPr>
              <w:spacing w:before="120" w:line="280" w:lineRule="atLeast"/>
              <w:jc w:val="center"/>
              <w:rPr>
                <w:rFonts w:hint="default" w:eastAsia="宋体"/>
                <w:sz w:val="21"/>
                <w:szCs w:val="22"/>
                <w:vertAlign w:val="baseline"/>
                <w:lang w:val="en-US" w:eastAsia="zh-CN"/>
              </w:rPr>
            </w:pPr>
            <w:r>
              <w:rPr>
                <w:rFonts w:hint="eastAsia" w:eastAsia="宋体"/>
                <w:sz w:val="21"/>
                <w:szCs w:val="22"/>
                <w:vertAlign w:val="baseline"/>
                <w:lang w:val="en-US" w:eastAsia="zh-CN"/>
              </w:rPr>
              <w:t>4.8 %</w:t>
            </w:r>
          </w:p>
        </w:tc>
      </w:tr>
    </w:tbl>
    <w:p>
      <w:pPr>
        <w:pStyle w:val="30"/>
        <w:jc w:val="center"/>
        <w:rPr>
          <w:rFonts w:hint="default" w:eastAsia="宋体"/>
          <w:lang w:val="en-US" w:eastAsia="zh-CN"/>
        </w:rPr>
      </w:pPr>
      <w:bookmarkStart w:id="4" w:name="_Ref11464"/>
      <w:r>
        <w:t xml:space="preserve">Table </w:t>
      </w:r>
      <w:r>
        <w:fldChar w:fldCharType="begin"/>
      </w:r>
      <w:r>
        <w:instrText xml:space="preserve"> SEQ Table \* ARABIC </w:instrText>
      </w:r>
      <w:r>
        <w:fldChar w:fldCharType="separate"/>
      </w:r>
      <w:r>
        <w:t>4</w:t>
      </w:r>
      <w:r>
        <w:fldChar w:fldCharType="end"/>
      </w:r>
      <w:bookmarkEnd w:id="4"/>
      <w:r>
        <w:rPr>
          <w:rFonts w:hint="eastAsia"/>
          <w:lang w:val="en-US" w:eastAsia="zh-CN"/>
        </w:rPr>
        <w:t xml:space="preserve"> Grant-based UL Simulation results of transport industry (ITS) at 700 MHz</w:t>
      </w:r>
    </w:p>
    <w:p>
      <w:pPr>
        <w:rPr>
          <w:lang w:val="en-GB" w:eastAsia="zh-CN"/>
        </w:rPr>
      </w:pPr>
    </w:p>
    <w:p>
      <w:pPr>
        <w:pStyle w:val="138"/>
        <w:numPr>
          <w:ilvl w:val="0"/>
          <w:numId w:val="0"/>
        </w:numPr>
        <w:rPr>
          <w:lang w:eastAsia="zh-CN"/>
        </w:rPr>
      </w:pPr>
      <w:r>
        <w:rPr>
          <w:rFonts w:hint="eastAsia"/>
          <w:lang w:val="en-US" w:eastAsia="zh-CN"/>
        </w:rPr>
        <w:t xml:space="preserve">Observation 3: </w:t>
      </w:r>
      <w:r>
        <w:rPr>
          <w:rFonts w:hint="eastAsia" w:eastAsia="宋体"/>
          <w:lang w:val="en-US" w:eastAsia="zh-CN"/>
        </w:rPr>
        <w:t>For</w:t>
      </w:r>
      <w:r>
        <w:rPr>
          <w:lang w:val="en-GB"/>
        </w:rPr>
        <w:t xml:space="preserve"> </w:t>
      </w:r>
      <w:r>
        <w:rPr>
          <w:rFonts w:hint="eastAsia"/>
          <w:lang w:val="en-US" w:eastAsia="zh-CN"/>
        </w:rPr>
        <w:t>transportation industry</w:t>
      </w:r>
      <w:r>
        <w:rPr>
          <w:lang w:val="en-GB"/>
        </w:rPr>
        <w:t xml:space="preserve"> at</w:t>
      </w:r>
      <w:r>
        <w:rPr>
          <w:rFonts w:hint="eastAsia" w:eastAsia="宋体"/>
          <w:lang w:val="en-US" w:eastAsia="zh-CN"/>
        </w:rPr>
        <w:t xml:space="preserve"> 700MHz</w:t>
      </w:r>
      <w:r>
        <w:rPr>
          <w:lang w:val="en-GB"/>
        </w:rPr>
        <w:t xml:space="preserve"> with </w:t>
      </w:r>
      <w:r>
        <w:rPr>
          <w:rFonts w:hint="eastAsia"/>
          <w:lang w:val="en-US" w:eastAsia="zh-CN"/>
        </w:rPr>
        <w:t>2</w:t>
      </w:r>
      <w:r>
        <w:rPr>
          <w:lang w:val="en-GB"/>
        </w:rPr>
        <w:t xml:space="preserve"> UEs per cell, </w:t>
      </w:r>
      <w:r>
        <w:rPr>
          <w:rFonts w:hint="eastAsia"/>
          <w:lang w:val="en-US" w:eastAsia="zh-CN"/>
        </w:rPr>
        <w:t>the outage percentage is smaller than 5% for grant based uplink</w:t>
      </w:r>
      <w:r>
        <w:rPr>
          <w:lang w:val="en-GB"/>
        </w:rPr>
        <w:t>.</w:t>
      </w:r>
    </w:p>
    <w:p>
      <w:pPr>
        <w:pStyle w:val="2"/>
      </w:pPr>
      <w:r>
        <w:t>Conclusion</w:t>
      </w:r>
    </w:p>
    <w:p>
      <w:pPr>
        <w:rPr>
          <w:lang w:val="en-GB" w:eastAsia="zh-CN"/>
        </w:rPr>
      </w:pPr>
      <w:r>
        <w:rPr>
          <w:rFonts w:hint="eastAsia"/>
          <w:lang w:val="en-GB" w:eastAsia="zh-CN"/>
        </w:rPr>
        <w:t>I</w:t>
      </w:r>
      <w:r>
        <w:rPr>
          <w:lang w:val="en-GB" w:eastAsia="zh-CN"/>
        </w:rPr>
        <w:t xml:space="preserve">n this contribution, the geometry and simulation results of </w:t>
      </w:r>
      <w:r>
        <w:rPr>
          <w:rFonts w:hint="eastAsia"/>
          <w:lang w:val="en-US" w:eastAsia="zh-CN"/>
        </w:rPr>
        <w:t>transport industry</w:t>
      </w:r>
      <w:r>
        <w:rPr>
          <w:lang w:val="en-GB" w:eastAsia="zh-CN"/>
        </w:rPr>
        <w:t xml:space="preserve"> at </w:t>
      </w:r>
      <w:r>
        <w:rPr>
          <w:rFonts w:hint="eastAsia"/>
          <w:lang w:val="en-US" w:eastAsia="zh-CN"/>
        </w:rPr>
        <w:t>700 M</w:t>
      </w:r>
      <w:r>
        <w:rPr>
          <w:lang w:val="en-GB" w:eastAsia="zh-CN"/>
        </w:rPr>
        <w:t xml:space="preserve">Hz are provided </w:t>
      </w:r>
      <w:r>
        <w:rPr>
          <w:rFonts w:hint="eastAsia"/>
          <w:lang w:eastAsia="zh-CN"/>
        </w:rPr>
        <w:t>for calibration and comparison</w:t>
      </w:r>
      <w:r>
        <w:rPr>
          <w:lang w:val="en-GB" w:eastAsia="zh-CN"/>
        </w:rPr>
        <w:t>. To sum up, the following observations are made.</w:t>
      </w:r>
    </w:p>
    <w:p>
      <w:pPr>
        <w:pStyle w:val="138"/>
        <w:numPr>
          <w:ilvl w:val="-1"/>
          <w:numId w:val="0"/>
        </w:numPr>
        <w:snapToGrid w:val="0"/>
        <w:spacing w:before="120" w:after="120"/>
        <w:rPr>
          <w:rFonts w:hint="eastAsia"/>
          <w:lang w:val="en-US" w:eastAsia="zh-CN"/>
        </w:rPr>
      </w:pPr>
      <w:r>
        <w:rPr>
          <w:rFonts w:hint="eastAsia"/>
          <w:lang w:val="en-US" w:eastAsia="zh-CN"/>
        </w:rPr>
        <w:t xml:space="preserve">Observation 1:For </w:t>
      </w:r>
      <w:r>
        <w:rPr>
          <w:rFonts w:hint="eastAsia"/>
          <w:highlight w:val="none"/>
          <w:lang w:val="en-US" w:eastAsia="zh-CN"/>
        </w:rPr>
        <w:t>transport industry</w:t>
      </w:r>
      <w:r>
        <w:rPr>
          <w:rFonts w:hint="eastAsia"/>
          <w:lang w:val="en-US" w:eastAsia="zh-CN"/>
        </w:rPr>
        <w:t xml:space="preserve"> </w:t>
      </w:r>
      <w:r>
        <w:rPr>
          <w:rFonts w:hint="eastAsia"/>
          <w:lang w:eastAsia="zh-CN"/>
        </w:rPr>
        <w:t xml:space="preserve">at </w:t>
      </w:r>
      <w:r>
        <w:rPr>
          <w:rFonts w:hint="eastAsia"/>
          <w:lang w:val="en-US" w:eastAsia="zh-CN"/>
        </w:rPr>
        <w:t>700 MHz,</w:t>
      </w:r>
    </w:p>
    <w:p>
      <w:pPr>
        <w:pStyle w:val="138"/>
        <w:numPr>
          <w:ilvl w:val="0"/>
          <w:numId w:val="9"/>
        </w:numPr>
        <w:snapToGrid w:val="0"/>
        <w:spacing w:before="120" w:after="120"/>
        <w:ind w:left="839" w:hanging="420"/>
        <w:rPr>
          <w:lang w:eastAsia="zh-CN"/>
        </w:rPr>
      </w:pPr>
      <w:r>
        <w:rPr>
          <w:rFonts w:hint="eastAsia"/>
          <w:lang w:eastAsia="zh-CN"/>
        </w:rPr>
        <w:t xml:space="preserve">The 5% Q-value of DL geometry is </w:t>
      </w:r>
      <w:r>
        <w:rPr>
          <w:rFonts w:hint="eastAsia"/>
          <w:lang w:val="en-US" w:eastAsia="zh-CN"/>
        </w:rPr>
        <w:t>-0.44</w:t>
      </w:r>
      <w:r>
        <w:rPr>
          <w:rFonts w:hint="eastAsia"/>
          <w:lang w:eastAsia="zh-CN"/>
        </w:rPr>
        <w:t xml:space="preserve"> dB. </w:t>
      </w:r>
    </w:p>
    <w:p>
      <w:pPr>
        <w:pStyle w:val="138"/>
        <w:numPr>
          <w:ilvl w:val="0"/>
          <w:numId w:val="9"/>
        </w:numPr>
        <w:snapToGrid w:val="0"/>
        <w:spacing w:before="0" w:after="120"/>
        <w:ind w:left="839" w:hanging="420"/>
        <w:rPr>
          <w:lang w:eastAsia="zh-CN"/>
        </w:rPr>
      </w:pPr>
      <w:r>
        <w:rPr>
          <w:rFonts w:hint="eastAsia"/>
          <w:lang w:eastAsia="zh-CN"/>
        </w:rPr>
        <w:t xml:space="preserve">The 5% Q-value of UL geometry is </w:t>
      </w:r>
      <w:r>
        <w:rPr>
          <w:rFonts w:hint="eastAsia"/>
          <w:lang w:val="en-US" w:eastAsia="zh-CN"/>
        </w:rPr>
        <w:t xml:space="preserve">-1.54 </w:t>
      </w:r>
      <w:r>
        <w:rPr>
          <w:rFonts w:hint="eastAsia"/>
          <w:lang w:eastAsia="zh-CN"/>
        </w:rPr>
        <w:t xml:space="preserve">dB. </w:t>
      </w:r>
    </w:p>
    <w:p>
      <w:pPr>
        <w:pStyle w:val="138"/>
        <w:numPr>
          <w:ilvl w:val="0"/>
          <w:numId w:val="0"/>
        </w:numPr>
        <w:rPr>
          <w:lang w:val="en-GB" w:eastAsia="zh-CN"/>
        </w:rPr>
      </w:pPr>
      <w:r>
        <w:rPr>
          <w:lang w:val="en-GB"/>
        </w:rPr>
        <w:t>.</w:t>
      </w:r>
      <w:r>
        <w:rPr>
          <w:rFonts w:hint="eastAsia"/>
          <w:lang w:val="en-US" w:eastAsia="zh-CN"/>
        </w:rPr>
        <w:t xml:space="preserve">Observation 2: </w:t>
      </w:r>
      <w:r>
        <w:rPr>
          <w:rFonts w:hint="eastAsia" w:eastAsia="宋体"/>
          <w:lang w:val="en-US" w:eastAsia="zh-CN"/>
        </w:rPr>
        <w:t>For</w:t>
      </w:r>
      <w:r>
        <w:rPr>
          <w:lang w:val="en-GB"/>
        </w:rPr>
        <w:t xml:space="preserve"> </w:t>
      </w:r>
      <w:r>
        <w:rPr>
          <w:rFonts w:hint="eastAsia"/>
          <w:lang w:val="en-US" w:eastAsia="zh-CN"/>
        </w:rPr>
        <w:t>transportation industry</w:t>
      </w:r>
      <w:r>
        <w:rPr>
          <w:lang w:val="en-GB"/>
        </w:rPr>
        <w:t xml:space="preserve"> at</w:t>
      </w:r>
      <w:r>
        <w:rPr>
          <w:rFonts w:hint="eastAsia" w:eastAsia="宋体"/>
          <w:lang w:val="en-US" w:eastAsia="zh-CN"/>
        </w:rPr>
        <w:t xml:space="preserve"> 700MHz</w:t>
      </w:r>
      <w:r>
        <w:rPr>
          <w:lang w:val="en-GB"/>
        </w:rPr>
        <w:t xml:space="preserve"> with </w:t>
      </w:r>
      <w:r>
        <w:rPr>
          <w:rFonts w:hint="eastAsia"/>
          <w:lang w:val="en-US" w:eastAsia="zh-CN"/>
        </w:rPr>
        <w:t>2</w:t>
      </w:r>
      <w:r>
        <w:rPr>
          <w:lang w:val="en-GB"/>
        </w:rPr>
        <w:t xml:space="preserve"> UEs per cell, </w:t>
      </w:r>
      <w:r>
        <w:rPr>
          <w:rFonts w:hint="eastAsia"/>
          <w:lang w:val="en-US" w:eastAsia="zh-CN"/>
        </w:rPr>
        <w:t>the outage percentage is smaller than 5% for downlink</w:t>
      </w:r>
      <w:r>
        <w:rPr>
          <w:lang w:val="en-GB"/>
        </w:rPr>
        <w:t>.</w:t>
      </w:r>
    </w:p>
    <w:p>
      <w:pPr>
        <w:bidi w:val="0"/>
        <w:rPr>
          <w:b/>
          <w:bCs/>
          <w:i/>
          <w:iCs/>
          <w:sz w:val="20"/>
          <w:szCs w:val="21"/>
          <w:lang w:val="en-GB" w:eastAsia="zh-CN"/>
        </w:rPr>
      </w:pPr>
      <w:r>
        <w:rPr>
          <w:rFonts w:hint="default"/>
          <w:b/>
          <w:bCs/>
          <w:i/>
          <w:iCs/>
          <w:sz w:val="20"/>
          <w:szCs w:val="21"/>
          <w:lang w:val="en-GB" w:eastAsia="zh-CN"/>
        </w:rPr>
        <w:t xml:space="preserve">Observation 3: </w:t>
      </w:r>
      <w:r>
        <w:rPr>
          <w:rFonts w:hint="default" w:eastAsia="宋体"/>
          <w:b/>
          <w:bCs/>
          <w:i/>
          <w:iCs/>
          <w:sz w:val="20"/>
          <w:szCs w:val="21"/>
          <w:lang w:val="en-GB" w:eastAsia="zh-CN"/>
        </w:rPr>
        <w:t>For</w:t>
      </w:r>
      <w:r>
        <w:rPr>
          <w:b/>
          <w:bCs/>
          <w:i/>
          <w:iCs/>
          <w:sz w:val="20"/>
          <w:szCs w:val="21"/>
          <w:lang w:val="en-GB" w:eastAsia="zh-CN"/>
        </w:rPr>
        <w:t xml:space="preserve"> </w:t>
      </w:r>
      <w:r>
        <w:rPr>
          <w:rFonts w:hint="default"/>
          <w:b/>
          <w:bCs/>
          <w:i/>
          <w:iCs/>
          <w:sz w:val="20"/>
          <w:szCs w:val="21"/>
          <w:lang w:val="en-GB" w:eastAsia="zh-CN"/>
        </w:rPr>
        <w:t>transportation industry</w:t>
      </w:r>
      <w:r>
        <w:rPr>
          <w:b/>
          <w:bCs/>
          <w:i/>
          <w:iCs/>
          <w:sz w:val="20"/>
          <w:szCs w:val="21"/>
          <w:lang w:val="en-GB" w:eastAsia="zh-CN"/>
        </w:rPr>
        <w:t xml:space="preserve"> at</w:t>
      </w:r>
      <w:r>
        <w:rPr>
          <w:rFonts w:hint="default" w:eastAsia="宋体"/>
          <w:b/>
          <w:bCs/>
          <w:i/>
          <w:iCs/>
          <w:sz w:val="20"/>
          <w:szCs w:val="21"/>
          <w:lang w:val="en-GB" w:eastAsia="zh-CN"/>
        </w:rPr>
        <w:t xml:space="preserve"> 700MHz</w:t>
      </w:r>
      <w:r>
        <w:rPr>
          <w:b/>
          <w:bCs/>
          <w:i/>
          <w:iCs/>
          <w:sz w:val="20"/>
          <w:szCs w:val="21"/>
          <w:lang w:val="en-GB" w:eastAsia="zh-CN"/>
        </w:rPr>
        <w:t xml:space="preserve"> with </w:t>
      </w:r>
      <w:r>
        <w:rPr>
          <w:rFonts w:hint="default"/>
          <w:b/>
          <w:bCs/>
          <w:i/>
          <w:iCs/>
          <w:sz w:val="20"/>
          <w:szCs w:val="21"/>
          <w:lang w:val="en-GB" w:eastAsia="zh-CN"/>
        </w:rPr>
        <w:t>2</w:t>
      </w:r>
      <w:r>
        <w:rPr>
          <w:b/>
          <w:bCs/>
          <w:i/>
          <w:iCs/>
          <w:sz w:val="20"/>
          <w:szCs w:val="21"/>
          <w:lang w:val="en-GB" w:eastAsia="zh-CN"/>
        </w:rPr>
        <w:t xml:space="preserve"> UEs per cell, </w:t>
      </w:r>
      <w:r>
        <w:rPr>
          <w:rFonts w:hint="default"/>
          <w:b/>
          <w:bCs/>
          <w:i/>
          <w:iCs/>
          <w:sz w:val="20"/>
          <w:szCs w:val="21"/>
          <w:lang w:val="en-GB" w:eastAsia="zh-CN"/>
        </w:rPr>
        <w:t>the outage percentage is smaller than 5% for grant based uplink</w:t>
      </w:r>
      <w:r>
        <w:rPr>
          <w:b/>
          <w:bCs/>
          <w:i/>
          <w:iCs/>
          <w:sz w:val="20"/>
          <w:szCs w:val="21"/>
          <w:lang w:val="en-GB" w:eastAsia="zh-CN"/>
        </w:rPr>
        <w:t>.</w:t>
      </w:r>
    </w:p>
    <w:p>
      <w:pPr>
        <w:pStyle w:val="2"/>
        <w:rPr>
          <w:lang w:eastAsia="zh-CN"/>
        </w:rPr>
      </w:pPr>
      <w:r>
        <w:rPr>
          <w:rFonts w:hint="eastAsia"/>
          <w:lang w:eastAsia="zh-CN"/>
        </w:rPr>
        <w:t>R</w:t>
      </w:r>
      <w:r>
        <w:rPr>
          <w:lang w:eastAsia="zh-CN"/>
        </w:rPr>
        <w:t>eference</w:t>
      </w:r>
    </w:p>
    <w:p>
      <w:pPr>
        <w:pStyle w:val="111"/>
        <w:numPr>
          <w:ilvl w:val="0"/>
          <w:numId w:val="11"/>
        </w:numPr>
        <w:rPr>
          <w:lang w:eastAsia="zh-CN"/>
        </w:rPr>
      </w:pPr>
      <w:bookmarkStart w:id="5" w:name="_Ref28029"/>
      <w:bookmarkStart w:id="6" w:name="_Ref32102"/>
      <w:bookmarkStart w:id="7" w:name="_Ref20929"/>
      <w:r>
        <w:rPr>
          <w:rFonts w:hint="eastAsia"/>
          <w:lang w:eastAsia="zh-CN"/>
        </w:rPr>
        <w:t>R1-1810051</w:t>
      </w:r>
      <w:r>
        <w:rPr>
          <w:rFonts w:hint="eastAsia"/>
          <w:lang w:val="en-US" w:eastAsia="zh-CN"/>
        </w:rPr>
        <w:t xml:space="preserve">, </w:t>
      </w:r>
      <w:r>
        <w:rPr>
          <w:rFonts w:hint="default"/>
          <w:lang w:val="en-US" w:eastAsia="zh-CN"/>
        </w:rPr>
        <w:t>“Final Report of 3GPP TSG RAN WG1 #94 v1.0.0”</w:t>
      </w:r>
      <w:r>
        <w:rPr>
          <w:rFonts w:hint="eastAsia"/>
          <w:lang w:val="en-US" w:eastAsia="zh-CN"/>
        </w:rPr>
        <w:t xml:space="preserve">, </w:t>
      </w:r>
      <w:r>
        <w:rPr>
          <w:rFonts w:hint="default"/>
          <w:lang w:val="en-US" w:eastAsia="zh-CN"/>
        </w:rPr>
        <w:t>Gothenburg, Sweden, August</w:t>
      </w:r>
      <w:r>
        <w:rPr>
          <w:rFonts w:hint="eastAsia"/>
          <w:lang w:val="en-US" w:eastAsia="zh-CN"/>
        </w:rPr>
        <w:t xml:space="preserve"> </w:t>
      </w:r>
      <w:r>
        <w:rPr>
          <w:rFonts w:hint="default"/>
          <w:lang w:val="en-US" w:eastAsia="zh-CN"/>
        </w:rPr>
        <w:t>20– 24</w:t>
      </w:r>
      <w:r>
        <w:rPr>
          <w:rFonts w:hint="eastAsia"/>
          <w:lang w:val="en-US" w:eastAsia="zh-CN"/>
        </w:rPr>
        <w:t xml:space="preserve">, </w:t>
      </w:r>
      <w:r>
        <w:rPr>
          <w:rFonts w:hint="default"/>
          <w:lang w:val="en-US" w:eastAsia="zh-CN"/>
        </w:rPr>
        <w:t>2018</w:t>
      </w:r>
      <w:r>
        <w:rPr>
          <w:rFonts w:hint="eastAsia"/>
          <w:lang w:val="en-US" w:eastAsia="zh-CN"/>
        </w:rPr>
        <w:t>.</w:t>
      </w:r>
      <w:bookmarkEnd w:id="5"/>
    </w:p>
    <w:p>
      <w:pPr>
        <w:pStyle w:val="111"/>
        <w:numPr>
          <w:ilvl w:val="0"/>
          <w:numId w:val="11"/>
        </w:numPr>
        <w:rPr>
          <w:lang w:eastAsia="zh-CN"/>
        </w:rPr>
      </w:pPr>
      <w:bookmarkStart w:id="8" w:name="_Ref28032"/>
      <w:r>
        <w:rPr>
          <w:rFonts w:hint="eastAsia"/>
          <w:lang w:eastAsia="zh-CN"/>
        </w:rPr>
        <w:t>R1-1812101</w:t>
      </w:r>
      <w:r>
        <w:rPr>
          <w:rFonts w:hint="eastAsia"/>
          <w:lang w:val="en-US" w:eastAsia="zh-CN"/>
        </w:rPr>
        <w:t xml:space="preserve">, </w:t>
      </w:r>
      <w:r>
        <w:rPr>
          <w:rFonts w:hint="default"/>
          <w:lang w:val="en-US" w:eastAsia="zh-CN"/>
        </w:rPr>
        <w:t>“Final Report of 3GPP TSG RAN WG1 #94bis v1.0.0”</w:t>
      </w:r>
      <w:r>
        <w:rPr>
          <w:rFonts w:hint="eastAsia"/>
          <w:lang w:val="en-US" w:eastAsia="zh-CN"/>
        </w:rPr>
        <w:t>, Chengdu, China, October 8–12, 2018.</w:t>
      </w:r>
      <w:bookmarkEnd w:id="6"/>
      <w:bookmarkEnd w:id="8"/>
    </w:p>
    <w:p>
      <w:pPr>
        <w:pStyle w:val="111"/>
        <w:numPr>
          <w:ilvl w:val="0"/>
          <w:numId w:val="11"/>
        </w:numPr>
        <w:rPr>
          <w:lang w:eastAsia="zh-CN"/>
        </w:rPr>
      </w:pPr>
      <w:bookmarkStart w:id="9" w:name="_Ref11666"/>
      <w:r>
        <w:rPr>
          <w:rFonts w:hint="eastAsia"/>
          <w:lang w:eastAsia="zh-CN"/>
        </w:rPr>
        <w:t>Draft Report of 3GPP TSG RAN WG1 #95 v0.2.0</w:t>
      </w:r>
      <w:r>
        <w:rPr>
          <w:rFonts w:hint="eastAsia"/>
          <w:lang w:val="en-US" w:eastAsia="zh-CN"/>
        </w:rPr>
        <w:t xml:space="preserve">, </w:t>
      </w:r>
      <w:r>
        <w:rPr>
          <w:rFonts w:hint="eastAsia"/>
          <w:lang w:eastAsia="zh-CN"/>
        </w:rPr>
        <w:t>Spokane, USA, 12–16 November 2018</w:t>
      </w:r>
      <w:r>
        <w:rPr>
          <w:rFonts w:hint="eastAsia"/>
          <w:lang w:val="en-US" w:eastAsia="zh-CN"/>
        </w:rPr>
        <w:t>.</w:t>
      </w:r>
      <w:bookmarkEnd w:id="7"/>
      <w:bookmarkEnd w:id="9"/>
    </w:p>
    <w:p>
      <w:pPr>
        <w:pStyle w:val="111"/>
        <w:numPr>
          <w:ilvl w:val="0"/>
          <w:numId w:val="11"/>
        </w:numPr>
        <w:rPr>
          <w:lang w:val="en-GB" w:eastAsia="zh-CN"/>
        </w:rPr>
      </w:pPr>
      <w:bookmarkStart w:id="10" w:name="_Ref9918"/>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w:t>
      </w:r>
      <w:r>
        <w:rPr>
          <w:rFonts w:hint="eastAsia"/>
          <w:sz w:val="20"/>
          <w:szCs w:val="20"/>
          <w:lang w:val="en-US" w:eastAsia="zh-CN"/>
        </w:rPr>
        <w:t xml:space="preserve"> </w:t>
      </w:r>
      <w:r>
        <w:rPr>
          <w:rFonts w:hint="eastAsia"/>
          <w:lang w:eastAsia="zh-CN"/>
        </w:rPr>
        <w:t>R1-1900080</w:t>
      </w:r>
      <w:r>
        <w:rPr>
          <w:rFonts w:hint="eastAsia"/>
          <w:lang w:val="en-US" w:eastAsia="zh-CN"/>
        </w:rPr>
        <w:t xml:space="preserve">, </w:t>
      </w:r>
      <w:r>
        <w:rPr>
          <w:rFonts w:hint="default"/>
          <w:lang w:val="en-US" w:eastAsia="zh-CN"/>
        </w:rPr>
        <w:t>“</w:t>
      </w:r>
      <w:r>
        <w:rPr>
          <w:rFonts w:hint="eastAsia"/>
          <w:lang w:eastAsia="zh-CN"/>
        </w:rPr>
        <w:t>Performance evaluation for transport industry</w:t>
      </w:r>
      <w:r>
        <w:rPr>
          <w:rFonts w:hint="eastAsia"/>
          <w:lang w:val="en-US" w:eastAsia="zh-CN"/>
        </w:rPr>
        <w:t xml:space="preserve"> at 4 GHz</w:t>
      </w:r>
      <w:r>
        <w:rPr>
          <w:rFonts w:hint="default"/>
          <w:lang w:val="en-US" w:eastAsia="zh-CN"/>
        </w:rPr>
        <w:t>”</w:t>
      </w:r>
      <w:r>
        <w:rPr>
          <w:rFonts w:hint="eastAsia"/>
          <w:lang w:val="en-US" w:eastAsia="zh-CN"/>
        </w:rPr>
        <w:t>, Taipei, January 21–25, 2019.</w:t>
      </w:r>
      <w:bookmarkEnd w:id="10"/>
    </w:p>
    <w:p>
      <w:pPr>
        <w:pStyle w:val="2"/>
        <w:rPr>
          <w:lang w:eastAsia="zh-CN"/>
        </w:rPr>
      </w:pPr>
      <w:r>
        <w:rPr>
          <w:rFonts w:hint="eastAsia"/>
          <w:lang w:eastAsia="zh-CN"/>
        </w:rPr>
        <w:t>A</w:t>
      </w:r>
      <w:r>
        <w:rPr>
          <w:lang w:eastAsia="zh-CN"/>
        </w:rPr>
        <w:t>ppendix</w:t>
      </w:r>
    </w:p>
    <w:p>
      <w:pPr>
        <w:jc w:val="center"/>
        <w:rPr>
          <w:lang w:eastAsia="zh-CN"/>
        </w:rPr>
      </w:pPr>
      <w:bookmarkStart w:id="11" w:name="_Ref5792"/>
      <w:r>
        <w:rPr>
          <w:rFonts w:hint="eastAsia"/>
          <w:lang w:val="en-US" w:eastAsia="zh-CN"/>
        </w:rPr>
        <w:t xml:space="preserve">Table A-1 </w:t>
      </w:r>
      <w:r>
        <w:rPr>
          <w:rFonts w:hint="eastAsia"/>
          <w:lang w:eastAsia="zh-CN"/>
        </w:rPr>
        <w:t>S</w:t>
      </w:r>
      <w:r>
        <w:rPr>
          <w:lang w:eastAsia="zh-CN"/>
        </w:rPr>
        <w:t>imulation assumptions</w:t>
      </w:r>
      <w:bookmarkEnd w:id="11"/>
    </w:p>
    <w:tbl>
      <w:tblPr>
        <w:tblStyle w:val="55"/>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szCs w:val="20"/>
              </w:rPr>
            </w:pPr>
            <w:r>
              <w:rPr>
                <w:b/>
                <w:bCs/>
                <w:szCs w:val="20"/>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szCs w:val="20"/>
                <w:lang w:eastAsia="zh-CN"/>
              </w:rPr>
            </w:pPr>
            <w:r>
              <w:rPr>
                <w:b/>
                <w:bCs/>
                <w:szCs w:val="20"/>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Layout</w:t>
            </w:r>
          </w:p>
        </w:tc>
        <w:tc>
          <w:tcPr>
            <w:tcW w:w="5208" w:type="dxa"/>
            <w:tcBorders>
              <w:top w:val="single" w:color="auto" w:sz="4" w:space="0"/>
              <w:left w:val="single" w:color="auto" w:sz="4" w:space="0"/>
              <w:bottom w:val="single" w:color="auto" w:sz="4" w:space="0"/>
              <w:right w:val="single" w:color="auto" w:sz="4" w:space="0"/>
            </w:tcBorders>
            <w:vAlign w:val="top"/>
          </w:tcPr>
          <w:p>
            <w:pPr>
              <w:overflowPunct w:val="0"/>
              <w:textAlignment w:val="baseline"/>
              <w:rPr>
                <w:szCs w:val="20"/>
                <w:lang w:eastAsia="ko-KR"/>
              </w:rPr>
            </w:pPr>
            <w:r>
              <w:rPr>
                <w:szCs w:val="20"/>
                <w:lang w:eastAsia="ja-JP"/>
              </w:rPr>
              <w:t>Single layer - Macro layer</w:t>
            </w:r>
            <w:r>
              <w:rPr>
                <w:lang w:eastAsia="ko-KR"/>
              </w:rPr>
              <w:t xml:space="preserve">: Road configuration in Figure 6.1.9-1 </w:t>
            </w:r>
            <w:r>
              <w:rPr>
                <w:lang w:eastAsia="zh-CN"/>
              </w:rPr>
              <w:t>i</w:t>
            </w:r>
            <w:r>
              <w:rPr>
                <w:lang w:eastAsia="ko-KR"/>
              </w:rPr>
              <w:t>n</w:t>
            </w:r>
            <w:r>
              <w:rPr>
                <w:lang w:eastAsia="zh-CN"/>
              </w:rPr>
              <w:t xml:space="preserve"> </w:t>
            </w:r>
            <w:r>
              <w:rPr>
                <w:lang w:eastAsia="ko-KR"/>
              </w:rPr>
              <w:t>38.913 and BS placement as depicted in Figure A.1.3-1 in 36.885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Inter-BS distance</w:t>
            </w:r>
          </w:p>
        </w:tc>
        <w:tc>
          <w:tcPr>
            <w:tcW w:w="5208" w:type="dxa"/>
            <w:tcBorders>
              <w:top w:val="single" w:color="auto" w:sz="4" w:space="0"/>
              <w:left w:val="single" w:color="auto" w:sz="4" w:space="0"/>
              <w:bottom w:val="single" w:color="auto" w:sz="4" w:space="0"/>
              <w:right w:val="single" w:color="auto" w:sz="4" w:space="0"/>
            </w:tcBorders>
            <w:vAlign w:val="top"/>
          </w:tcPr>
          <w:p>
            <w:pPr>
              <w:rPr>
                <w:rFonts w:eastAsia="宋体"/>
                <w:szCs w:val="20"/>
                <w:lang w:eastAsia="zh-CN"/>
              </w:rPr>
            </w:pPr>
            <w:r>
              <w:rPr>
                <w:szCs w:val="20"/>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ja-JP"/>
              </w:rPr>
            </w:pPr>
            <w:r>
              <w:rPr>
                <w:szCs w:val="20"/>
                <w:lang w:eastAsia="ja-JP"/>
              </w:rPr>
              <w:t>Carrier frequency</w:t>
            </w:r>
          </w:p>
        </w:tc>
        <w:tc>
          <w:tcPr>
            <w:tcW w:w="5208"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rFonts w:hint="eastAsia"/>
                <w:szCs w:val="20"/>
                <w:lang w:val="en-US" w:eastAsia="zh-CN"/>
              </w:rPr>
              <w:t>700M</w:t>
            </w:r>
            <w:r>
              <w:rPr>
                <w:szCs w:val="20"/>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szCs w:val="20"/>
                <w:lang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szCs w:val="20"/>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rPr>
                <w:rFonts w:hint="eastAsia" w:eastAsia="宋体"/>
                <w:lang w:eastAsia="zh-CN"/>
              </w:rPr>
            </w:pPr>
            <w:r>
              <w:rPr>
                <w:rFonts w:hint="eastAsia" w:eastAsia="宋体"/>
                <w:lang w:val="en-US" w:eastAsia="zh-CN"/>
              </w:rPr>
              <w:t>2</w:t>
            </w:r>
            <w:r>
              <w:rPr>
                <w:rFonts w:hint="eastAsia" w:eastAsia="宋体"/>
                <w:lang w:eastAsia="zh-CN"/>
              </w:rPr>
              <w:t xml:space="preserve"> </w:t>
            </w:r>
            <w:r>
              <w:rPr>
                <w:rFonts w:hint="eastAsia" w:eastAsia="宋体"/>
                <w:lang w:val="en-US" w:eastAsia="zh-CN"/>
              </w:rPr>
              <w:t>T</w:t>
            </w:r>
            <w:r>
              <w:rPr>
                <w:rFonts w:hint="eastAsia" w:eastAsia="宋体"/>
                <w:lang w:eastAsia="zh-CN"/>
              </w:rPr>
              <w:t>x antenna ports</w:t>
            </w:r>
          </w:p>
          <w:p>
            <w:pPr>
              <w:rPr>
                <w:szCs w:val="20"/>
              </w:rPr>
            </w:pPr>
            <w:r>
              <w:rPr>
                <w:rFonts w:eastAsia="宋体"/>
              </w:rPr>
              <w:t>(M, N, P, Mg, Ng</w:t>
            </w:r>
            <w:r>
              <w:rPr>
                <w:rFonts w:hint="eastAsia" w:eastAsia="宋体"/>
                <w:lang w:eastAsia="zh-CN"/>
              </w:rPr>
              <w:t>; Mp, Np</w:t>
            </w:r>
            <w:r>
              <w:rPr>
                <w:rFonts w:eastAsia="宋体"/>
              </w:rPr>
              <w:t>) = (</w:t>
            </w:r>
            <w:r>
              <w:rPr>
                <w:rFonts w:hint="eastAsia" w:eastAsia="宋体"/>
                <w:lang w:val="en-US" w:eastAsia="zh-CN"/>
              </w:rPr>
              <w:t>8</w:t>
            </w:r>
            <w:r>
              <w:rPr>
                <w:rFonts w:eastAsia="宋体"/>
              </w:rPr>
              <w:t xml:space="preserve">, </w:t>
            </w:r>
            <w:r>
              <w:rPr>
                <w:rFonts w:hint="eastAsia" w:eastAsia="宋体"/>
                <w:lang w:val="en-US" w:eastAsia="zh-CN"/>
              </w:rPr>
              <w:t>1</w:t>
            </w:r>
            <w:r>
              <w:rPr>
                <w:rFonts w:eastAsia="宋体"/>
              </w:rPr>
              <w:t>, 2, 1, 1</w:t>
            </w:r>
            <w:r>
              <w:rPr>
                <w:rFonts w:hint="eastAsia" w:eastAsia="宋体"/>
                <w:lang w:eastAsia="zh-CN"/>
              </w:rPr>
              <w:t xml:space="preserve">; </w:t>
            </w:r>
            <w:r>
              <w:rPr>
                <w:rFonts w:hint="eastAsia" w:eastAsia="宋体"/>
                <w:lang w:val="en-US" w:eastAsia="zh-CN"/>
              </w:rPr>
              <w:t>1</w:t>
            </w:r>
            <w:r>
              <w:rPr>
                <w:rFonts w:hint="eastAsia" w:eastAsia="宋体"/>
                <w:lang w:eastAsia="zh-CN"/>
              </w:rPr>
              <w:t xml:space="preserve">, </w:t>
            </w:r>
            <w:r>
              <w:rPr>
                <w:rFonts w:hint="eastAsia" w:eastAsia="宋体"/>
                <w:lang w:val="en-US" w:eastAsia="zh-CN"/>
              </w:rPr>
              <w:t>1</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rPr>
                <w:szCs w:val="20"/>
              </w:rPr>
            </w:pPr>
            <w:r>
              <w:rPr>
                <w:szCs w:val="20"/>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rPr>
                <w:szCs w:val="20"/>
                <w:lang w:eastAsia="ja-JP"/>
              </w:rPr>
            </w:pPr>
            <w:r>
              <w:rPr>
                <w:szCs w:val="20"/>
                <w:lang w:eastAsia="ja-JP"/>
              </w:rPr>
              <w:t>8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pPr>
              <w:rPr>
                <w:szCs w:val="20"/>
              </w:rPr>
            </w:pPr>
            <w:r>
              <w:rPr>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ja-JP"/>
              </w:rPr>
            </w:pPr>
            <w:r>
              <w:rPr>
                <w:szCs w:val="20"/>
                <w:lang w:eastAsia="ja-JP"/>
              </w:rPr>
              <w:t>UE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33"/>
              <w:numPr>
                <w:ilvl w:val="0"/>
                <w:numId w:val="0"/>
              </w:numPr>
              <w:rPr>
                <w:szCs w:val="20"/>
                <w:lang w:eastAsia="zh-CN"/>
              </w:rPr>
            </w:pPr>
            <w:r>
              <w:rPr>
                <w:rFonts w:hint="eastAsia" w:eastAsia="宋体"/>
                <w:szCs w:val="20"/>
              </w:rPr>
              <w:t xml:space="preserve">For 2 </w:t>
            </w:r>
            <w:r>
              <w:rPr>
                <w:rFonts w:hint="eastAsia" w:eastAsia="宋体"/>
                <w:szCs w:val="20"/>
                <w:lang w:val="en-US" w:eastAsia="zh-CN"/>
              </w:rPr>
              <w:t>R</w:t>
            </w:r>
            <w:r>
              <w:rPr>
                <w:rFonts w:hint="eastAsia" w:eastAsia="宋体"/>
                <w:szCs w:val="20"/>
              </w:rPr>
              <w:t xml:space="preserve">x: </w:t>
            </w:r>
            <w:r>
              <w:rPr>
                <w:rFonts w:eastAsia="宋体"/>
                <w:szCs w:val="20"/>
              </w:rPr>
              <w:t>(M, N, P, Mg, Ng</w:t>
            </w:r>
            <w:r>
              <w:rPr>
                <w:rFonts w:hint="eastAsia" w:eastAsia="宋体"/>
                <w:szCs w:val="20"/>
              </w:rPr>
              <w:t>; Mp, Np</w:t>
            </w:r>
            <w:r>
              <w:rPr>
                <w:rFonts w:eastAsia="宋体"/>
                <w:szCs w:val="20"/>
              </w:rPr>
              <w:t>) = (</w:t>
            </w:r>
            <w:r>
              <w:rPr>
                <w:rFonts w:hint="eastAsia" w:eastAsia="宋体"/>
                <w:szCs w:val="20"/>
              </w:rPr>
              <w:t>1</w:t>
            </w:r>
            <w:r>
              <w:rPr>
                <w:rFonts w:eastAsia="宋体"/>
                <w:szCs w:val="20"/>
              </w:rPr>
              <w:t xml:space="preserve">, </w:t>
            </w:r>
            <w:r>
              <w:rPr>
                <w:rFonts w:hint="eastAsia" w:eastAsia="宋体"/>
                <w:szCs w:val="20"/>
              </w:rPr>
              <w:t>1</w:t>
            </w:r>
            <w:r>
              <w:rPr>
                <w:rFonts w:eastAsia="宋体"/>
                <w:szCs w:val="20"/>
              </w:rPr>
              <w:t>, 2, 1, 1</w:t>
            </w:r>
            <w:r>
              <w:rPr>
                <w:rFonts w:hint="eastAsia" w:eastAsia="宋体"/>
                <w:szCs w:val="20"/>
              </w:rPr>
              <w:t>; 1, 1</w:t>
            </w:r>
            <w:r>
              <w:rPr>
                <w:rFonts w:eastAsia="宋体"/>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rPr>
                <w:szCs w:val="20"/>
                <w:lang w:eastAsia="zh-CN"/>
              </w:rPr>
            </w:pPr>
            <w:r>
              <w:rPr>
                <w:szCs w:val="20"/>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rPr>
                <w:szCs w:val="20"/>
              </w:rPr>
            </w:pPr>
            <w:r>
              <w:rPr>
                <w:szCs w:val="20"/>
              </w:rP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szCs w:val="20"/>
                <w:lang w:eastAsia="zh-CN"/>
              </w:rPr>
              <w:t>UE receiver noise figure</w:t>
            </w:r>
          </w:p>
        </w:tc>
        <w:tc>
          <w:tcPr>
            <w:tcW w:w="5208" w:type="dxa"/>
            <w:tcBorders>
              <w:top w:val="single" w:color="auto" w:sz="4" w:space="0"/>
              <w:left w:val="single" w:color="auto" w:sz="4" w:space="0"/>
              <w:bottom w:val="single" w:color="auto" w:sz="4" w:space="0"/>
              <w:right w:val="single" w:color="auto" w:sz="4" w:space="0"/>
            </w:tcBorders>
            <w:vAlign w:val="top"/>
          </w:tcPr>
          <w:p>
            <w:pPr>
              <w:spacing w:before="20" w:after="20" w:line="276" w:lineRule="auto"/>
              <w:ind w:right="-157"/>
              <w:rPr>
                <w:szCs w:val="20"/>
                <w:lang w:eastAsia="zh-CN"/>
              </w:rPr>
            </w:pPr>
            <w:r>
              <w:rPr>
                <w:szCs w:val="20"/>
                <w:lang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ja-JP"/>
              </w:rPr>
            </w:pPr>
            <w:r>
              <w:rPr>
                <w:szCs w:val="20"/>
                <w:lang w:eastAsia="ja-JP"/>
              </w:rPr>
              <w:t>Total transmit power per TRxP</w:t>
            </w:r>
          </w:p>
        </w:tc>
        <w:tc>
          <w:tcPr>
            <w:tcW w:w="5208" w:type="dxa"/>
            <w:tcBorders>
              <w:top w:val="single" w:color="auto" w:sz="4" w:space="0"/>
              <w:left w:val="single" w:color="auto" w:sz="4" w:space="0"/>
              <w:bottom w:val="single" w:color="auto" w:sz="4" w:space="0"/>
              <w:right w:val="single" w:color="auto" w:sz="4" w:space="0"/>
            </w:tcBorders>
            <w:vAlign w:val="top"/>
          </w:tcPr>
          <w:p>
            <w:pPr>
              <w:spacing w:before="20" w:after="20" w:line="276" w:lineRule="auto"/>
              <w:ind w:right="-157"/>
              <w:rPr>
                <w:szCs w:val="20"/>
                <w:lang w:eastAsia="zh-CN"/>
              </w:rPr>
            </w:pPr>
            <w:r>
              <w:rPr>
                <w:szCs w:val="20"/>
              </w:rPr>
              <w:t>49 dBm</w:t>
            </w:r>
            <w:r>
              <w:rPr>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szCs w:val="20"/>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20" w:after="20" w:line="276" w:lineRule="auto"/>
              <w:ind w:right="-157"/>
              <w:rPr>
                <w:szCs w:val="20"/>
                <w:lang w:eastAsia="zh-CN"/>
              </w:rPr>
            </w:pPr>
            <w:r>
              <w:rPr>
                <w:szCs w:val="20"/>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szCs w:val="20"/>
                <w:lang w:eastAsia="zh-CN"/>
              </w:rPr>
              <w:t>Number of UEs per cell</w:t>
            </w:r>
          </w:p>
        </w:tc>
        <w:tc>
          <w:tcPr>
            <w:tcW w:w="5208" w:type="dxa"/>
            <w:tcBorders>
              <w:top w:val="single" w:color="auto" w:sz="4" w:space="0"/>
              <w:left w:val="single" w:color="auto" w:sz="4" w:space="0"/>
              <w:bottom w:val="single" w:color="auto" w:sz="4" w:space="0"/>
              <w:right w:val="single" w:color="auto" w:sz="4" w:space="0"/>
            </w:tcBorders>
            <w:vAlign w:val="top"/>
          </w:tcPr>
          <w:p>
            <w:pPr>
              <w:spacing w:after="120" w:afterLines="50"/>
              <w:rPr>
                <w:szCs w:val="20"/>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szCs w:val="20"/>
                <w:lang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vAlign w:val="top"/>
          </w:tcPr>
          <w:p>
            <w:pPr>
              <w:spacing w:after="120" w:afterLines="50"/>
              <w:rPr>
                <w:szCs w:val="20"/>
                <w:highlight w:val="yellow"/>
                <w:lang w:eastAsia="zh-CN"/>
              </w:rPr>
            </w:pPr>
            <w:r>
              <w:rPr>
                <w:rFonts w:hint="eastAsia"/>
                <w:szCs w:val="20"/>
                <w:lang w:val="en-US" w:eastAsia="zh-CN"/>
              </w:rPr>
              <w:t>2</w:t>
            </w:r>
            <w:r>
              <w:rPr>
                <w:szCs w:val="20"/>
                <w:lang w:eastAsia="zh-CN"/>
              </w:rPr>
              <w:t>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zh-CN"/>
              </w:rPr>
            </w:pPr>
            <w:r>
              <w:rPr>
                <w:szCs w:val="20"/>
                <w:lang w:eastAsia="zh-CN"/>
              </w:rPr>
              <w:t xml:space="preserve">SCS </w:t>
            </w:r>
          </w:p>
        </w:tc>
        <w:tc>
          <w:tcPr>
            <w:tcW w:w="5208" w:type="dxa"/>
            <w:tcBorders>
              <w:top w:val="single" w:color="auto" w:sz="4" w:space="0"/>
              <w:left w:val="single" w:color="auto" w:sz="4" w:space="0"/>
              <w:bottom w:val="single" w:color="auto" w:sz="4" w:space="0"/>
              <w:right w:val="single" w:color="auto" w:sz="4" w:space="0"/>
            </w:tcBorders>
            <w:vAlign w:val="top"/>
          </w:tcPr>
          <w:p>
            <w:pPr>
              <w:spacing w:after="120" w:afterLines="50"/>
              <w:rPr>
                <w:rFonts w:eastAsia="宋体"/>
                <w:szCs w:val="20"/>
                <w:highlight w:val="yellow"/>
                <w:lang w:eastAsia="zh-CN"/>
              </w:rPr>
            </w:pPr>
            <w:r>
              <w:rPr>
                <w:szCs w:val="20"/>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ja-JP"/>
              </w:rPr>
            </w:pPr>
            <w:r>
              <w:rPr>
                <w:szCs w:val="20"/>
                <w:lang w:eastAsia="ja-JP"/>
              </w:rPr>
              <w:t>UE distribution</w:t>
            </w:r>
          </w:p>
        </w:tc>
        <w:tc>
          <w:tcPr>
            <w:tcW w:w="5208" w:type="dxa"/>
            <w:tcBorders>
              <w:top w:val="single" w:color="auto" w:sz="4" w:space="0"/>
              <w:left w:val="single" w:color="auto" w:sz="4" w:space="0"/>
              <w:bottom w:val="single" w:color="auto" w:sz="4" w:space="0"/>
              <w:right w:val="single" w:color="auto" w:sz="4" w:space="0"/>
            </w:tcBorders>
            <w:vAlign w:val="top"/>
          </w:tcPr>
          <w:p>
            <w:pPr>
              <w:pStyle w:val="85"/>
              <w:ind w:left="0" w:firstLine="0"/>
              <w:rPr>
                <w:rFonts w:hint="eastAsia"/>
                <w:szCs w:val="20"/>
                <w:u w:val="none"/>
                <w:lang w:eastAsia="zh-CN"/>
              </w:rPr>
            </w:pPr>
            <w:r>
              <w:rPr>
                <w:rFonts w:hint="eastAsia"/>
                <w:color w:val="auto"/>
                <w:szCs w:val="20"/>
                <w:u w:val="none"/>
                <w:lang w:val="en-US" w:eastAsia="zh-CN"/>
              </w:rPr>
              <w:t>10</w:t>
            </w:r>
            <w:r>
              <w:rPr>
                <w:color w:val="auto"/>
                <w:szCs w:val="20"/>
                <w:u w:val="none"/>
                <w:lang w:eastAsia="zh-CN"/>
              </w:rPr>
              <w:t xml:space="preserve">0% </w:t>
            </w:r>
            <w:r>
              <w:rPr>
                <w:szCs w:val="20"/>
                <w:u w:val="none"/>
                <w:lang w:eastAsia="zh-CN"/>
              </w:rPr>
              <w:t>of users are outdoors</w:t>
            </w:r>
            <w:r>
              <w:rPr>
                <w:rFonts w:hint="eastAsia"/>
                <w:szCs w:val="20"/>
                <w:u w:val="none"/>
                <w:lang w:eastAsia="zh-CN"/>
              </w:rPr>
              <w:t xml:space="preserve"> </w:t>
            </w:r>
          </w:p>
          <w:p>
            <w:pPr>
              <w:pStyle w:val="85"/>
              <w:ind w:left="0" w:firstLine="0"/>
              <w:rPr>
                <w:rFonts w:hint="eastAsia"/>
                <w:szCs w:val="20"/>
                <w:lang w:val="en-US" w:eastAsia="zh-CN"/>
              </w:rPr>
            </w:pPr>
            <w:r>
              <w:rPr>
                <w:rFonts w:eastAsia="宋体"/>
                <w:u w:val="none"/>
                <w:lang w:eastAsia="zh-CN"/>
              </w:rPr>
              <w:t>Use</w:t>
            </w:r>
            <w:r>
              <w:rPr>
                <w:rFonts w:eastAsia="宋体"/>
                <w:color w:val="auto"/>
                <w:u w:val="none"/>
                <w:lang w:eastAsia="zh-CN"/>
              </w:rPr>
              <w:t xml:space="preserve"> </w:t>
            </w:r>
            <w:r>
              <w:rPr>
                <w:rFonts w:hint="eastAsia" w:eastAsia="宋体"/>
                <w:color w:val="auto"/>
                <w:u w:val="none"/>
                <w:lang w:val="en-US" w:eastAsia="zh-CN"/>
              </w:rPr>
              <w:t>60</w:t>
            </w:r>
            <w:r>
              <w:rPr>
                <w:rFonts w:eastAsia="宋体"/>
                <w:color w:val="auto"/>
                <w:u w:val="none"/>
                <w:lang w:eastAsia="zh-CN"/>
              </w:rPr>
              <w:t>km</w:t>
            </w:r>
            <w:r>
              <w:rPr>
                <w:rFonts w:eastAsia="宋体"/>
                <w:u w:val="none"/>
                <w:lang w:eastAsia="zh-CN"/>
              </w:rPr>
              <w:t>/h f</w:t>
            </w:r>
            <w:r>
              <w:rPr>
                <w:rFonts w:eastAsia="宋体"/>
                <w:lang w:eastAsia="zh-CN"/>
              </w:rPr>
              <w:t>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lang w:eastAsia="ja-JP"/>
              </w:rPr>
            </w:pPr>
            <w:r>
              <w:rPr>
                <w:szCs w:val="20"/>
              </w:rPr>
              <w:t>UE power control</w:t>
            </w:r>
          </w:p>
        </w:tc>
        <w:tc>
          <w:tcPr>
            <w:tcW w:w="5208" w:type="dxa"/>
            <w:tcBorders>
              <w:top w:val="single" w:color="auto" w:sz="4" w:space="0"/>
              <w:left w:val="single" w:color="auto" w:sz="4" w:space="0"/>
              <w:bottom w:val="single" w:color="auto" w:sz="4" w:space="0"/>
              <w:right w:val="single" w:color="auto" w:sz="4" w:space="0"/>
            </w:tcBorders>
            <w:vAlign w:val="center"/>
          </w:tcPr>
          <w:p>
            <w:pPr>
              <w:rPr>
                <w:rFonts w:eastAsia="宋体"/>
                <w:u w:val="none"/>
                <w:lang w:eastAsia="zh-CN"/>
              </w:rPr>
            </w:pPr>
            <w:r>
              <w:rPr>
                <w:rFonts w:hint="eastAsia"/>
                <w:szCs w:val="20"/>
                <w:lang w:val="en-US" w:eastAsia="zh-CN"/>
              </w:rPr>
              <w:t>P0= -90; alpha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rPr>
              <w:t>HARQ/repetition</w:t>
            </w:r>
          </w:p>
        </w:tc>
        <w:tc>
          <w:tcPr>
            <w:tcW w:w="5208" w:type="dxa"/>
            <w:tcBorders>
              <w:top w:val="single" w:color="auto" w:sz="4" w:space="0"/>
              <w:left w:val="single" w:color="auto" w:sz="4" w:space="0"/>
              <w:bottom w:val="single" w:color="auto" w:sz="4" w:space="0"/>
              <w:right w:val="single" w:color="auto" w:sz="4" w:space="0"/>
            </w:tcBorders>
            <w:vAlign w:val="center"/>
          </w:tcPr>
          <w:p>
            <w:pPr>
              <w:rPr>
                <w:rFonts w:hint="default" w:eastAsia="宋体"/>
                <w:szCs w:val="20"/>
                <w:lang w:val="en-US" w:eastAsia="zh-CN"/>
              </w:rPr>
            </w:pPr>
            <w:r>
              <w:rPr>
                <w:rFonts w:hint="eastAsia"/>
                <w:szCs w:val="20"/>
                <w:lang w:val="en-US" w:eastAsia="zh-CN"/>
              </w:rPr>
              <w:t>Synchronous HARQ</w:t>
            </w:r>
          </w:p>
          <w:p>
            <w:pPr>
              <w:rPr>
                <w:szCs w:val="20"/>
              </w:rPr>
            </w:pPr>
            <w:r>
              <w:rPr>
                <w:rFonts w:hint="eastAsia"/>
                <w:szCs w:val="20"/>
                <w:lang w:val="en-US" w:eastAsia="zh-CN"/>
              </w:rPr>
              <w:t>Max number of transmission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szCs w:val="20"/>
              </w:rPr>
            </w:pPr>
            <w:r>
              <w:rPr>
                <w:szCs w:val="20"/>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rPr>
                <w:szCs w:val="20"/>
              </w:rPr>
            </w:pPr>
            <w:r>
              <w:rPr>
                <w:rFonts w:hint="eastAsia"/>
                <w:szCs w:val="20"/>
                <w:lang w:val="en-US"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rPr>
                <w:rFonts w:hint="default" w:eastAsia="宋体"/>
                <w:szCs w:val="20"/>
                <w:lang w:val="en-US" w:eastAsia="zh-CN"/>
              </w:rPr>
            </w:pPr>
            <w:r>
              <w:rPr>
                <w:rFonts w:hint="eastAsia"/>
                <w:szCs w:val="20"/>
                <w:highlight w:val="none"/>
                <w:lang w:val="en-US" w:eastAsia="zh-CN"/>
              </w:rPr>
              <w:t>Scheduling algorithm</w:t>
            </w:r>
          </w:p>
        </w:tc>
        <w:tc>
          <w:tcPr>
            <w:tcW w:w="5208" w:type="dxa"/>
            <w:tcBorders>
              <w:top w:val="single" w:color="auto" w:sz="4" w:space="0"/>
              <w:left w:val="single" w:color="auto" w:sz="4" w:space="0"/>
              <w:bottom w:val="single" w:color="auto" w:sz="4" w:space="0"/>
              <w:right w:val="single" w:color="auto" w:sz="4" w:space="0"/>
            </w:tcBorders>
            <w:vAlign w:val="center"/>
          </w:tcPr>
          <w:p>
            <w:pPr>
              <w:rPr>
                <w:rFonts w:hint="eastAsia"/>
                <w:lang w:eastAsia="zh-CN"/>
              </w:rPr>
            </w:pPr>
            <w:r>
              <w:rPr>
                <w:rFonts w:hint="eastAsia"/>
                <w:lang w:val="en-US" w:eastAsia="zh-CN"/>
              </w:rPr>
              <w:t>L</w:t>
            </w:r>
            <w:r>
              <w:rPr>
                <w:rFonts w:hint="eastAsia"/>
                <w:lang w:eastAsia="zh-CN"/>
              </w:rPr>
              <w:t>atency-prioritized scheduling algorithm</w:t>
            </w:r>
          </w:p>
          <w:p>
            <w:pPr>
              <w:rPr>
                <w:rFonts w:hint="eastAsia"/>
                <w:szCs w:val="20"/>
                <w:lang w:val="en-US" w:eastAsia="zh-CN"/>
              </w:rPr>
            </w:pPr>
            <w:r>
              <w:rPr>
                <w:rFonts w:hint="eastAsia"/>
                <w:lang w:val="en-US" w:eastAsia="zh-CN"/>
              </w:rPr>
              <w:t xml:space="preserve">Each slot has </w:t>
            </w:r>
            <w:r>
              <w:rPr>
                <w:rFonts w:hint="eastAsia"/>
                <w:b w:val="0"/>
                <w:bCs w:val="0"/>
                <w:lang w:val="en-US" w:eastAsia="zh-CN"/>
              </w:rPr>
              <w:t xml:space="preserve">three </w:t>
            </w:r>
            <w:r>
              <w:rPr>
                <w:rFonts w:hint="eastAsia"/>
                <w:lang w:val="en-US" w:eastAsia="zh-CN"/>
              </w:rPr>
              <w:t>PDCCH occasions.</w:t>
            </w:r>
          </w:p>
        </w:tc>
      </w:tr>
    </w:tbl>
    <w:p>
      <w:pPr>
        <w:rPr>
          <w:rFonts w:hint="default"/>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0"/>
      </w:rPr>
      <w:fldChar w:fldCharType="begin"/>
    </w:r>
    <w:r>
      <w:rPr>
        <w:rStyle w:val="50"/>
      </w:rPr>
      <w:instrText xml:space="preserve"> PAGE </w:instrText>
    </w:r>
    <w:r>
      <w:rPr>
        <w:rStyle w:val="50"/>
      </w:rPr>
      <w:fldChar w:fldCharType="separate"/>
    </w:r>
    <w:r>
      <w:rPr>
        <w:rStyle w:val="50"/>
      </w:rPr>
      <w:t>2</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2</w:t>
    </w:r>
    <w:r>
      <w:rPr>
        <w:rStyle w:val="5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68774E"/>
    <w:multiLevelType w:val="singleLevel"/>
    <w:tmpl w:val="B468774E"/>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E381C33"/>
    <w:multiLevelType w:val="multilevel"/>
    <w:tmpl w:val="0E381C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6"/>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3"/>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5"/>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FEB5FC7"/>
    <w:multiLevelType w:val="multilevel"/>
    <w:tmpl w:val="6FEB5FC7"/>
    <w:lvl w:ilvl="0" w:tentative="0">
      <w:start w:val="1"/>
      <w:numFmt w:val="decimal"/>
      <w:lvlText w:val="[%1]"/>
      <w:lvlJc w:val="left"/>
      <w:pPr>
        <w:ind w:left="420" w:hanging="420"/>
      </w:pPr>
      <w:rPr>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C41A82"/>
    <w:multiLevelType w:val="multilevel"/>
    <w:tmpl w:val="79C41A82"/>
    <w:lvl w:ilvl="0" w:tentative="0">
      <w:start w:val="1"/>
      <w:numFmt w:val="decimal"/>
      <w:pStyle w:val="138"/>
      <w:lvlText w:val="Observation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28"/>
      <w:lvlText w:val="Proposal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10"/>
  </w:num>
  <w:num w:numId="6">
    <w:abstractNumId w:val="6"/>
  </w:num>
  <w:num w:numId="7">
    <w:abstractNumId w:val="4"/>
  </w:num>
  <w:num w:numId="8">
    <w:abstractNumId w:val="9"/>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48"/>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6FE"/>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5BC"/>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1E80"/>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5D8B"/>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15B"/>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5F98"/>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EF2"/>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1C92"/>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DF1"/>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2C5"/>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10"/>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7AF"/>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15D7BB8"/>
    <w:rsid w:val="01B07186"/>
    <w:rsid w:val="02735414"/>
    <w:rsid w:val="0284643E"/>
    <w:rsid w:val="02BC652D"/>
    <w:rsid w:val="03532C3F"/>
    <w:rsid w:val="03815AFF"/>
    <w:rsid w:val="03C56B34"/>
    <w:rsid w:val="05EF4FAF"/>
    <w:rsid w:val="067D4C1C"/>
    <w:rsid w:val="07D1165F"/>
    <w:rsid w:val="097121B4"/>
    <w:rsid w:val="0AFC60B7"/>
    <w:rsid w:val="0BAD7041"/>
    <w:rsid w:val="0D132BA9"/>
    <w:rsid w:val="0D660AC2"/>
    <w:rsid w:val="0D86612E"/>
    <w:rsid w:val="105E689F"/>
    <w:rsid w:val="109C6FAB"/>
    <w:rsid w:val="112E38AC"/>
    <w:rsid w:val="1152366A"/>
    <w:rsid w:val="12A472D8"/>
    <w:rsid w:val="12FE321B"/>
    <w:rsid w:val="13813D68"/>
    <w:rsid w:val="141F2191"/>
    <w:rsid w:val="15156168"/>
    <w:rsid w:val="1575AEB2"/>
    <w:rsid w:val="15D27945"/>
    <w:rsid w:val="1702D3F2"/>
    <w:rsid w:val="185C53F2"/>
    <w:rsid w:val="19676247"/>
    <w:rsid w:val="1C766428"/>
    <w:rsid w:val="1DBE6ACC"/>
    <w:rsid w:val="1DD50930"/>
    <w:rsid w:val="1FAD0EB9"/>
    <w:rsid w:val="20910CB1"/>
    <w:rsid w:val="20CD42FE"/>
    <w:rsid w:val="23293991"/>
    <w:rsid w:val="23680C07"/>
    <w:rsid w:val="239E142D"/>
    <w:rsid w:val="23EF4E6D"/>
    <w:rsid w:val="247247A7"/>
    <w:rsid w:val="2858072B"/>
    <w:rsid w:val="28B07E55"/>
    <w:rsid w:val="2992719D"/>
    <w:rsid w:val="2A140377"/>
    <w:rsid w:val="2C1D6D18"/>
    <w:rsid w:val="2D376513"/>
    <w:rsid w:val="2DC863F1"/>
    <w:rsid w:val="2F54500D"/>
    <w:rsid w:val="359455FE"/>
    <w:rsid w:val="375C57D7"/>
    <w:rsid w:val="38482334"/>
    <w:rsid w:val="3A213F1C"/>
    <w:rsid w:val="3AB31D0C"/>
    <w:rsid w:val="3D5C096E"/>
    <w:rsid w:val="3D834201"/>
    <w:rsid w:val="3E446008"/>
    <w:rsid w:val="3FE44C41"/>
    <w:rsid w:val="408E1A78"/>
    <w:rsid w:val="4242619A"/>
    <w:rsid w:val="42B20782"/>
    <w:rsid w:val="42CE2206"/>
    <w:rsid w:val="43694640"/>
    <w:rsid w:val="437072B9"/>
    <w:rsid w:val="447D6401"/>
    <w:rsid w:val="454A542D"/>
    <w:rsid w:val="47983536"/>
    <w:rsid w:val="489E2AB3"/>
    <w:rsid w:val="48D40630"/>
    <w:rsid w:val="496938E0"/>
    <w:rsid w:val="4AB32128"/>
    <w:rsid w:val="4C2233A3"/>
    <w:rsid w:val="4C453936"/>
    <w:rsid w:val="4C5520A4"/>
    <w:rsid w:val="4EAC0AFF"/>
    <w:rsid w:val="523F3D3E"/>
    <w:rsid w:val="53D03440"/>
    <w:rsid w:val="54A82E15"/>
    <w:rsid w:val="5617079D"/>
    <w:rsid w:val="57EF6871"/>
    <w:rsid w:val="58240039"/>
    <w:rsid w:val="595A121E"/>
    <w:rsid w:val="5AAA7963"/>
    <w:rsid w:val="5AF422E5"/>
    <w:rsid w:val="5C2A1A11"/>
    <w:rsid w:val="5F631FA8"/>
    <w:rsid w:val="606E4130"/>
    <w:rsid w:val="60921C6F"/>
    <w:rsid w:val="664B2F3D"/>
    <w:rsid w:val="6A4F2D82"/>
    <w:rsid w:val="6A782EAA"/>
    <w:rsid w:val="6B253387"/>
    <w:rsid w:val="6BE575CC"/>
    <w:rsid w:val="6C1A25C6"/>
    <w:rsid w:val="6C261075"/>
    <w:rsid w:val="6DE75C41"/>
    <w:rsid w:val="6E4D6A7C"/>
    <w:rsid w:val="6EB13CF0"/>
    <w:rsid w:val="70DC12EE"/>
    <w:rsid w:val="71467925"/>
    <w:rsid w:val="74000A47"/>
    <w:rsid w:val="74885606"/>
    <w:rsid w:val="76245964"/>
    <w:rsid w:val="763A080C"/>
    <w:rsid w:val="76845B02"/>
    <w:rsid w:val="776F4F23"/>
    <w:rsid w:val="78156E78"/>
    <w:rsid w:val="7931734A"/>
    <w:rsid w:val="79464D2D"/>
    <w:rsid w:val="794A17BF"/>
    <w:rsid w:val="79555DBE"/>
    <w:rsid w:val="797D3A62"/>
    <w:rsid w:val="7ADB38D4"/>
    <w:rsid w:val="7BC5576F"/>
    <w:rsid w:val="7C2C69F8"/>
    <w:rsid w:val="7CF73CC7"/>
    <w:rsid w:val="7DD2691C"/>
    <w:rsid w:val="7E670C20"/>
    <w:rsid w:val="7E756717"/>
    <w:rsid w:val="7EA1788A"/>
    <w:rsid w:val="7EF06161"/>
    <w:rsid w:val="7FA40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2"/>
    <w:qFormat/>
    <w:uiPriority w:val="0"/>
    <w:pPr>
      <w:numPr>
        <w:ilvl w:val="1"/>
      </w:numPr>
      <w:pBdr>
        <w:top w:val="none" w:color="auto" w:sz="0" w:space="0"/>
      </w:pBdr>
      <w:spacing w:before="180"/>
      <w:outlineLvl w:val="1"/>
    </w:pPr>
    <w:rPr>
      <w:sz w:val="32"/>
    </w:rPr>
  </w:style>
  <w:style w:type="paragraph" w:styleId="4">
    <w:name w:val="heading 3"/>
    <w:basedOn w:val="3"/>
    <w:next w:val="1"/>
    <w:link w:val="103"/>
    <w:qFormat/>
    <w:uiPriority w:val="0"/>
    <w:pPr>
      <w:numPr>
        <w:ilvl w:val="2"/>
      </w:numPr>
      <w:spacing w:before="120"/>
      <w:outlineLvl w:val="2"/>
    </w:pPr>
    <w:rPr>
      <w:sz w:val="28"/>
    </w:rPr>
  </w:style>
  <w:style w:type="paragraph" w:styleId="5">
    <w:name w:val="heading 4"/>
    <w:basedOn w:val="4"/>
    <w:next w:val="1"/>
    <w:link w:val="104"/>
    <w:qFormat/>
    <w:uiPriority w:val="0"/>
    <w:pPr>
      <w:numPr>
        <w:ilvl w:val="3"/>
      </w:numPr>
      <w:outlineLvl w:val="3"/>
    </w:pPr>
    <w:rPr>
      <w:sz w:val="24"/>
    </w:rPr>
  </w:style>
  <w:style w:type="paragraph" w:styleId="6">
    <w:name w:val="heading 5"/>
    <w:basedOn w:val="5"/>
    <w:next w:val="1"/>
    <w:link w:val="105"/>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qFormat/>
    <w:uiPriority w:val="1"/>
  </w:style>
  <w:style w:type="table" w:default="1" w:styleId="55">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annotation subject"/>
    <w:basedOn w:val="15"/>
    <w:next w:val="15"/>
    <w:semiHidden/>
    <w:qFormat/>
    <w:uiPriority w:val="0"/>
    <w:rPr>
      <w:b/>
      <w:bCs/>
    </w:rPr>
  </w:style>
  <w:style w:type="paragraph" w:styleId="15">
    <w:name w:val="annotation text"/>
    <w:basedOn w:val="1"/>
    <w:link w:val="115"/>
    <w:qFormat/>
    <w:uiPriority w:val="0"/>
    <w:rPr>
      <w:lang w:eastAsia="zh-CN"/>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caption"/>
    <w:basedOn w:val="1"/>
    <w:next w:val="1"/>
    <w:link w:val="127"/>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5"/>
    <w:qFormat/>
    <w:uiPriority w:val="0"/>
    <w:pPr>
      <w:spacing w:after="120"/>
    </w:pPr>
    <w:rPr>
      <w:rFonts w:ascii="Times" w:hAnsi="Times"/>
      <w:szCs w:val="24"/>
    </w:rPr>
  </w:style>
  <w:style w:type="paragraph" w:styleId="34">
    <w:name w:val="List Bullet 5"/>
    <w:basedOn w:val="26"/>
    <w:qFormat/>
    <w:uiPriority w:val="0"/>
    <w:pPr>
      <w:ind w:left="1702"/>
    </w:pPr>
  </w:style>
  <w:style w:type="paragraph" w:styleId="35">
    <w:name w:val="toc 8"/>
    <w:basedOn w:val="22"/>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4"/>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3"/>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page number"/>
    <w:basedOn w:val="49"/>
    <w:qFormat/>
    <w:uiPriority w:val="0"/>
  </w:style>
  <w:style w:type="character" w:styleId="51">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table" w:styleId="56">
    <w:name w:val="Table Grid"/>
    <w:basedOn w:val="55"/>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link w:val="120"/>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21"/>
    <w:qFormat/>
    <w:uiPriority w:val="0"/>
    <w:pPr>
      <w:keepNext/>
      <w:keepLines/>
      <w:spacing w:before="60"/>
      <w:jc w:val="center"/>
    </w:pPr>
    <w:rPr>
      <w:rFonts w:ascii="Arial" w:hAnsi="Arial"/>
      <w:b/>
    </w:rPr>
  </w:style>
  <w:style w:type="paragraph" w:customStyle="1" w:styleId="65">
    <w:name w:val="NO"/>
    <w:basedOn w:val="1"/>
    <w:link w:val="13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25"/>
    <w:link w:val="131"/>
    <w:qFormat/>
    <w:uiPriority w:val="0"/>
  </w:style>
  <w:style w:type="paragraph" w:customStyle="1" w:styleId="85">
    <w:name w:val="B2"/>
    <w:basedOn w:val="13"/>
    <w:link w:val="132"/>
    <w:qFormat/>
    <w:uiPriority w:val="0"/>
  </w:style>
  <w:style w:type="paragraph" w:customStyle="1" w:styleId="86">
    <w:name w:val="B3"/>
    <w:basedOn w:val="12"/>
    <w:qFormat/>
    <w:uiPriority w:val="0"/>
  </w:style>
  <w:style w:type="paragraph" w:customStyle="1" w:styleId="87">
    <w:name w:val="B4"/>
    <w:basedOn w:val="4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2"/>
      </w:numPr>
    </w:pPr>
  </w:style>
  <w:style w:type="paragraph" w:customStyle="1" w:styleId="92">
    <w:name w:val="text"/>
    <w:basedOn w:val="1"/>
    <w:qFormat/>
    <w:uiPriority w:val="0"/>
    <w:pPr>
      <w:spacing w:after="240"/>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pPr>
    <w:rPr>
      <w:rFonts w:ascii="New York" w:hAnsi="New York"/>
      <w:sz w:val="24"/>
    </w:rPr>
  </w:style>
  <w:style w:type="paragraph" w:customStyle="1" w:styleId="100">
    <w:name w:val="CR Cover Page"/>
    <w:qFormat/>
    <w:uiPriority w:val="0"/>
    <w:pPr>
      <w:spacing w:after="120"/>
    </w:pPr>
    <w:rPr>
      <w:rFonts w:ascii="Arial" w:hAnsi="Arial" w:eastAsia="MS Mincho" w:cs="Times New Roman"/>
      <w:lang w:val="en-GB" w:eastAsia="en-US" w:bidi="ar-SA"/>
    </w:rPr>
  </w:style>
  <w:style w:type="character" w:customStyle="1" w:styleId="101">
    <w:name w:val="Heading 1 Char1"/>
    <w:link w:val="2"/>
    <w:qFormat/>
    <w:uiPriority w:val="0"/>
    <w:rPr>
      <w:rFonts w:ascii="Arial" w:hAnsi="Arial"/>
      <w:sz w:val="36"/>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Heading 3 Char"/>
    <w:link w:val="4"/>
    <w:qFormat/>
    <w:uiPriority w:val="0"/>
    <w:rPr>
      <w:rFonts w:ascii="Arial" w:hAnsi="Arial"/>
      <w:sz w:val="28"/>
      <w:lang w:val="en-GB" w:eastAsia="en-US"/>
    </w:rPr>
  </w:style>
  <w:style w:type="character" w:customStyle="1" w:styleId="104">
    <w:name w:val="Heading 4 Char"/>
    <w:link w:val="5"/>
    <w:qFormat/>
    <w:uiPriority w:val="0"/>
    <w:rPr>
      <w:rFonts w:ascii="Arial" w:hAnsi="Arial"/>
      <w:sz w:val="24"/>
      <w:lang w:val="en-GB" w:eastAsia="en-US"/>
    </w:rPr>
  </w:style>
  <w:style w:type="character" w:customStyle="1" w:styleId="105">
    <w:name w:val="Heading 5 Char"/>
    <w:link w:val="6"/>
    <w:qFormat/>
    <w:uiPriority w:val="0"/>
    <w:rPr>
      <w:rFonts w:ascii="Arial" w:hAnsi="Arial"/>
      <w:sz w:val="22"/>
      <w:lang w:val="en-GB" w:eastAsia="en-US"/>
    </w:rPr>
  </w:style>
  <w:style w:type="character" w:customStyle="1" w:styleId="106">
    <w:name w:val="Char Char3"/>
    <w:qFormat/>
    <w:uiPriority w:val="0"/>
    <w:rPr>
      <w:rFonts w:ascii="Arial" w:hAnsi="Arial"/>
      <w:sz w:val="36"/>
      <w:lang w:val="en-GB" w:eastAsia="en-US" w:bidi="ar-SA"/>
    </w:rPr>
  </w:style>
  <w:style w:type="character" w:customStyle="1" w:styleId="107">
    <w:name w:val="Char Char2"/>
    <w:qFormat/>
    <w:uiPriority w:val="0"/>
    <w:rPr>
      <w:rFonts w:ascii="Arial" w:hAnsi="Arial"/>
      <w:sz w:val="32"/>
      <w:lang w:val="en-GB" w:eastAsia="en-US" w:bidi="ar-SA"/>
    </w:rPr>
  </w:style>
  <w:style w:type="character" w:customStyle="1" w:styleId="108">
    <w:name w:val="Char Char1"/>
    <w:qFormat/>
    <w:uiPriority w:val="0"/>
    <w:rPr>
      <w:rFonts w:ascii="Arial" w:hAnsi="Arial"/>
      <w:sz w:val="28"/>
      <w:lang w:val="en-GB" w:eastAsia="en-US" w:bidi="ar-SA"/>
    </w:rPr>
  </w:style>
  <w:style w:type="character" w:customStyle="1" w:styleId="109">
    <w:name w:val="h4 Char Char"/>
    <w:qFormat/>
    <w:uiPriority w:val="0"/>
    <w:rPr>
      <w:rFonts w:ascii="Arial" w:hAnsi="Arial"/>
      <w:sz w:val="24"/>
      <w:lang w:val="en-GB" w:eastAsia="en-US" w:bidi="ar-SA"/>
    </w:rPr>
  </w:style>
  <w:style w:type="character" w:customStyle="1" w:styleId="110">
    <w:name w:val="Char Char"/>
    <w:qFormat/>
    <w:uiPriority w:val="0"/>
    <w:rPr>
      <w:rFonts w:ascii="Arial" w:hAnsi="Arial"/>
      <w:sz w:val="22"/>
      <w:lang w:val="en-GB" w:eastAsia="en-US" w:bidi="ar-SA"/>
    </w:rPr>
  </w:style>
  <w:style w:type="paragraph" w:styleId="111">
    <w:name w:val="List Paragraph"/>
    <w:basedOn w:val="1"/>
    <w:link w:val="122"/>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2">
    <w:name w:val="Reference"/>
    <w:basedOn w:val="66"/>
    <w:qFormat/>
    <w:uiPriority w:val="0"/>
    <w:pPr>
      <w:tabs>
        <w:tab w:val="left" w:pos="360"/>
      </w:tabs>
      <w:suppressAutoHyphens/>
      <w:autoSpaceDN/>
      <w:adjustRightInd/>
      <w:ind w:left="0" w:firstLine="0"/>
    </w:pPr>
    <w:rPr>
      <w:lang w:eastAsia="ar-SA"/>
    </w:rPr>
  </w:style>
  <w:style w:type="character" w:customStyle="1" w:styleId="113">
    <w:name w:val="Subtitle Char"/>
    <w:link w:val="39"/>
    <w:qFormat/>
    <w:uiPriority w:val="0"/>
    <w:rPr>
      <w:rFonts w:ascii="Cambria" w:hAnsi="Cambria" w:eastAsia="Times New Roman" w:cs="Times New Roman"/>
      <w:sz w:val="24"/>
      <w:szCs w:val="24"/>
      <w:lang w:val="en-GB"/>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Comment Text Char"/>
    <w:link w:val="15"/>
    <w:qFormat/>
    <w:uiPriority w:val="0"/>
    <w:rPr>
      <w:rFonts w:ascii="Times New Roman" w:hAnsi="Times New Roman"/>
      <w:lang w:val="en-GB"/>
    </w:rPr>
  </w:style>
  <w:style w:type="paragraph" w:customStyle="1" w:styleId="116">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1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19">
    <w:name w:val="Placeholder Text"/>
    <w:semiHidden/>
    <w:qFormat/>
    <w:uiPriority w:val="99"/>
    <w:rPr>
      <w:color w:val="808080"/>
    </w:rPr>
  </w:style>
  <w:style w:type="character" w:customStyle="1" w:styleId="120">
    <w:name w:val="TAC Char"/>
    <w:link w:val="61"/>
    <w:qFormat/>
    <w:uiPriority w:val="0"/>
    <w:rPr>
      <w:rFonts w:ascii="Arial" w:hAnsi="Arial"/>
      <w:sz w:val="18"/>
      <w:lang w:val="en-GB" w:eastAsia="en-US"/>
    </w:rPr>
  </w:style>
  <w:style w:type="character" w:customStyle="1" w:styleId="121">
    <w:name w:val="TH Char"/>
    <w:link w:val="64"/>
    <w:qFormat/>
    <w:uiPriority w:val="0"/>
    <w:rPr>
      <w:rFonts w:ascii="Arial" w:hAnsi="Arial"/>
      <w:b/>
      <w:lang w:val="en-GB" w:eastAsia="en-US"/>
    </w:rPr>
  </w:style>
  <w:style w:type="character" w:customStyle="1" w:styleId="122">
    <w:name w:val="List Paragraph Char"/>
    <w:link w:val="111"/>
    <w:qFormat/>
    <w:locked/>
    <w:uiPriority w:val="34"/>
    <w:rPr>
      <w:rFonts w:ascii="Times New Roman" w:hAnsi="Times New Roman" w:eastAsia="Calibri"/>
      <w:szCs w:val="22"/>
      <w:lang w:val="en-GB" w:eastAsia="en-US"/>
    </w:rPr>
  </w:style>
  <w:style w:type="paragraph" w:customStyle="1" w:styleId="123">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4">
    <w:name w:val="Footer Char"/>
    <w:basedOn w:val="49"/>
    <w:link w:val="37"/>
    <w:qFormat/>
    <w:uiPriority w:val="99"/>
    <w:rPr>
      <w:rFonts w:ascii="Arial" w:hAnsi="Arial"/>
      <w:b/>
      <w:i/>
      <w:sz w:val="18"/>
      <w:lang w:eastAsia="en-US"/>
    </w:rPr>
  </w:style>
  <w:style w:type="character" w:customStyle="1" w:styleId="125">
    <w:name w:val="Body Text Char"/>
    <w:basedOn w:val="49"/>
    <w:link w:val="33"/>
    <w:qFormat/>
    <w:uiPriority w:val="0"/>
    <w:rPr>
      <w:rFonts w:ascii="Times" w:hAnsi="Times"/>
      <w:szCs w:val="24"/>
      <w:lang w:eastAsia="en-US"/>
    </w:rPr>
  </w:style>
  <w:style w:type="table" w:customStyle="1" w:styleId="126">
    <w:name w:val="网格表 4 - 着色 11"/>
    <w:basedOn w:val="55"/>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7">
    <w:name w:val="Caption Char"/>
    <w:link w:val="30"/>
    <w:qFormat/>
    <w:uiPriority w:val="99"/>
    <w:rPr>
      <w:rFonts w:ascii="Times New Roman" w:hAnsi="Times New Roman"/>
      <w:b/>
      <w:bCs/>
      <w:lang w:eastAsia="en-US"/>
    </w:rPr>
  </w:style>
  <w:style w:type="paragraph" w:customStyle="1" w:styleId="128">
    <w:name w:val="Proposal"/>
    <w:basedOn w:val="1"/>
    <w:link w:val="129"/>
    <w:qFormat/>
    <w:uiPriority w:val="0"/>
    <w:pPr>
      <w:numPr>
        <w:ilvl w:val="0"/>
        <w:numId w:val="5"/>
      </w:numPr>
      <w:tabs>
        <w:tab w:val="left" w:pos="1152"/>
      </w:tabs>
      <w:spacing w:before="240" w:after="240"/>
      <w:ind w:left="0" w:firstLine="0"/>
    </w:pPr>
    <w:rPr>
      <w:rFonts w:eastAsia="MS Mincho"/>
      <w:b/>
      <w:i/>
      <w:lang w:eastAsia="ja-JP"/>
    </w:rPr>
  </w:style>
  <w:style w:type="character" w:customStyle="1" w:styleId="129">
    <w:name w:val="Proposal Char"/>
    <w:basedOn w:val="49"/>
    <w:link w:val="128"/>
    <w:qFormat/>
    <w:uiPriority w:val="0"/>
    <w:rPr>
      <w:rFonts w:ascii="Times New Roman" w:hAnsi="Times New Roman" w:eastAsia="MS Mincho"/>
      <w:b/>
      <w:i/>
      <w:lang w:eastAsia="ja-JP"/>
    </w:rPr>
  </w:style>
  <w:style w:type="character" w:customStyle="1" w:styleId="130">
    <w:name w:val="NO Char"/>
    <w:basedOn w:val="49"/>
    <w:link w:val="65"/>
    <w:qFormat/>
    <w:locked/>
    <w:uiPriority w:val="0"/>
    <w:rPr>
      <w:rFonts w:ascii="Times New Roman" w:hAnsi="Times New Roman"/>
      <w:lang w:eastAsia="en-US"/>
    </w:rPr>
  </w:style>
  <w:style w:type="character" w:customStyle="1" w:styleId="131">
    <w:name w:val="B1 Char1"/>
    <w:basedOn w:val="49"/>
    <w:link w:val="84"/>
    <w:qFormat/>
    <w:locked/>
    <w:uiPriority w:val="0"/>
    <w:rPr>
      <w:rFonts w:ascii="Times New Roman" w:hAnsi="Times New Roman"/>
      <w:lang w:eastAsia="en-US"/>
    </w:rPr>
  </w:style>
  <w:style w:type="character" w:customStyle="1" w:styleId="132">
    <w:name w:val="B2 Char"/>
    <w:basedOn w:val="49"/>
    <w:link w:val="85"/>
    <w:qFormat/>
    <w:locked/>
    <w:uiPriority w:val="0"/>
    <w:rPr>
      <w:rFonts w:ascii="Times New Roman" w:hAnsi="Times New Roman"/>
      <w:lang w:eastAsia="en-US"/>
    </w:rPr>
  </w:style>
  <w:style w:type="character" w:customStyle="1" w:styleId="133">
    <w:name w:val="明显强调1"/>
    <w:basedOn w:val="49"/>
    <w:qFormat/>
    <w:uiPriority w:val="21"/>
    <w:rPr>
      <w:i/>
      <w:iCs/>
      <w:color w:val="5B9BD5" w:themeColor="accent1"/>
      <w14:textFill>
        <w14:solidFill>
          <w14:schemeClr w14:val="accent1"/>
        </w14:solidFill>
      </w14:textFill>
    </w:rPr>
  </w:style>
  <w:style w:type="character" w:customStyle="1" w:styleId="134">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5">
    <w:name w:val="Figure"/>
    <w:basedOn w:val="1"/>
    <w:link w:val="137"/>
    <w:qFormat/>
    <w:uiPriority w:val="0"/>
    <w:pPr>
      <w:numPr>
        <w:ilvl w:val="0"/>
        <w:numId w:val="6"/>
      </w:numPr>
      <w:jc w:val="center"/>
    </w:pPr>
  </w:style>
  <w:style w:type="paragraph" w:customStyle="1" w:styleId="136">
    <w:name w:val="Table"/>
    <w:basedOn w:val="135"/>
    <w:link w:val="139"/>
    <w:qFormat/>
    <w:uiPriority w:val="0"/>
    <w:pPr>
      <w:numPr>
        <w:numId w:val="7"/>
      </w:numPr>
    </w:pPr>
  </w:style>
  <w:style w:type="character" w:customStyle="1" w:styleId="137">
    <w:name w:val="Figure Char"/>
    <w:basedOn w:val="49"/>
    <w:link w:val="135"/>
    <w:qFormat/>
    <w:uiPriority w:val="0"/>
    <w:rPr>
      <w:rFonts w:ascii="Times New Roman" w:hAnsi="Times New Roman"/>
      <w:lang w:eastAsia="en-US"/>
    </w:rPr>
  </w:style>
  <w:style w:type="paragraph" w:customStyle="1" w:styleId="138">
    <w:name w:val="Observation"/>
    <w:basedOn w:val="128"/>
    <w:link w:val="140"/>
    <w:qFormat/>
    <w:uiPriority w:val="0"/>
    <w:pPr>
      <w:numPr>
        <w:ilvl w:val="0"/>
        <w:numId w:val="8"/>
      </w:numPr>
      <w:ind w:left="0" w:firstLine="0"/>
    </w:pPr>
  </w:style>
  <w:style w:type="character" w:customStyle="1" w:styleId="139">
    <w:name w:val="Table Char"/>
    <w:basedOn w:val="137"/>
    <w:link w:val="136"/>
    <w:qFormat/>
    <w:uiPriority w:val="0"/>
    <w:rPr>
      <w:rFonts w:ascii="Times New Roman" w:hAnsi="Times New Roman"/>
      <w:lang w:eastAsia="en-US"/>
    </w:rPr>
  </w:style>
  <w:style w:type="character" w:customStyle="1" w:styleId="140">
    <w:name w:val="Observation Char"/>
    <w:basedOn w:val="129"/>
    <w:link w:val="138"/>
    <w:qFormat/>
    <w:uiPriority w:val="0"/>
    <w:rPr>
      <w:rFonts w:ascii="Times New Roman" w:hAnsi="Times New Roman" w:eastAsia="MS Mincho"/>
      <w:lang w:eastAsia="ja-JP"/>
    </w:rPr>
  </w:style>
  <w:style w:type="table" w:customStyle="1" w:styleId="141">
    <w:name w:val="Table Grid1"/>
    <w:basedOn w:val="55"/>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
    <w:name w:val="Table Normal1"/>
    <w:basedOn w:val="55"/>
    <w:semiHidden/>
    <w:qFormat/>
    <w:uiPriority w:val="0"/>
    <w:rPr>
      <w:rFonts w:eastAsia="CG Times (WN)"/>
    </w:rPr>
    <w:tblPr>
      <w:tblLayout w:type="fixed"/>
      <w:tblCellMar>
        <w:top w:w="0" w:type="dxa"/>
        <w:left w:w="108" w:type="dxa"/>
        <w:bottom w:w="0" w:type="dxa"/>
        <w:right w:w="108" w:type="dxa"/>
      </w:tblCellMar>
    </w:tblPr>
  </w:style>
  <w:style w:type="paragraph" w:customStyle="1" w:styleId="143">
    <w:name w:val="Comments"/>
    <w:basedOn w:val="1"/>
    <w:qFormat/>
    <w:uiPriority w:val="0"/>
    <w:pPr>
      <w:spacing w:before="40"/>
      <w:ind w:left="0" w:firstLine="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33F2CE54-C1B8-4BD2-BB11-93D0CB2E68F9}">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Pages>
  <Words>105</Words>
  <Characters>604</Characters>
  <Lines>5</Lines>
  <Paragraphs>1</Paragraphs>
  <TotalTime>1</TotalTime>
  <ScaleCrop>false</ScaleCrop>
  <LinksUpToDate>false</LinksUpToDate>
  <CharactersWithSpaces>708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2018-05-12T01:54:00Z</dcterms:created>
  <dc:creator>ZTE Corporation</dc:creator>
  <cp:lastModifiedBy>HXH</cp:lastModifiedBy>
  <cp:lastPrinted>2018-04-07T03:05:00Z</cp:lastPrinted>
  <dcterms:modified xsi:type="dcterms:W3CDTF">2019-01-12T01:53:58Z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